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jc w:val="center"/>
        <w:rPr>
          <w:rFonts w:ascii="Cambria" w:hAnsi="Cambria"/>
          <w:b/>
          <w:color w:val="FF0000"/>
          <w:sz w:val="48"/>
          <w:szCs w:val="48"/>
        </w:rPr>
      </w:pPr>
      <w:r>
        <w:rPr>
          <w:rFonts w:ascii="Cambria" w:hAnsi="Cambria"/>
          <w:b/>
          <w:sz w:val="48"/>
          <w:szCs w:val="48"/>
        </w:rPr>
        <w:t>Programación didáctica de</w:t>
      </w:r>
      <w:r>
        <w:rPr>
          <w:rFonts w:ascii="Cambria" w:hAnsi="Cambria"/>
          <w:b/>
          <w:sz w:val="48"/>
          <w:szCs w:val="48"/>
        </w:rPr>
        <w:t>l módulo:</w:t>
      </w:r>
    </w:p>
    <w:p>
      <w:pPr>
        <w:pStyle w:val="Normal"/>
        <w:jc w:val="center"/>
        <w:rPr>
          <w:rFonts w:ascii="Cambria" w:hAnsi="Cambria"/>
          <w:b/>
          <w:color w:val="FF0000"/>
          <w:sz w:val="48"/>
          <w:szCs w:val="48"/>
        </w:rPr>
      </w:pPr>
      <w:r>
        <w:rPr>
          <w:rFonts w:ascii="Cambria" w:hAnsi="Cambria"/>
          <w:b/>
          <w:sz w:val="48"/>
          <w:szCs w:val="48"/>
        </w:rPr>
        <w:t>H</w:t>
      </w:r>
      <w:r>
        <w:rPr>
          <w:rFonts w:ascii="Cambria" w:hAnsi="Cambria"/>
          <w:b/>
          <w:sz w:val="48"/>
          <w:szCs w:val="48"/>
        </w:rPr>
        <w:t>acking Ético</w:t>
      </w:r>
    </w:p>
    <w:p>
      <w:pPr>
        <w:pStyle w:val="Normal"/>
        <w:jc w:val="center"/>
        <w:rPr>
          <w:rFonts w:ascii="Cambria" w:hAnsi="Cambria"/>
          <w:b/>
          <w:color w:val="FF0000"/>
          <w:sz w:val="48"/>
          <w:szCs w:val="48"/>
        </w:rPr>
      </w:pPr>
      <w:r>
        <w:rPr/>
      </w:r>
    </w:p>
    <w:p>
      <w:pPr>
        <w:pStyle w:val="Normal"/>
        <w:jc w:val="center"/>
        <w:rPr>
          <w:rFonts w:ascii="Cambria" w:hAnsi="Cambria"/>
          <w:b/>
          <w:i/>
          <w:i/>
          <w:color w:val="FF0000"/>
          <w:sz w:val="48"/>
          <w:szCs w:val="48"/>
        </w:rPr>
      </w:pPr>
      <w:r>
        <w:rPr>
          <w:rFonts w:ascii="Cambria" w:hAnsi="Cambria"/>
          <w:b/>
          <w:i w:val="false"/>
          <w:iCs w:val="false"/>
          <w:color w:val="auto"/>
          <w:sz w:val="48"/>
          <w:szCs w:val="48"/>
        </w:rPr>
        <w:t>Curso de especialización: Ciberseguridad en Entornos de las Tecnologías</w:t>
      </w:r>
    </w:p>
    <w:p>
      <w:pPr>
        <w:pStyle w:val="Normal"/>
        <w:jc w:val="center"/>
        <w:rPr>
          <w:rFonts w:ascii="Cambria" w:hAnsi="Cambria"/>
          <w:b/>
          <w:color w:val="FF0000"/>
          <w:sz w:val="48"/>
          <w:szCs w:val="48"/>
        </w:rPr>
      </w:pPr>
      <w:r>
        <w:rPr>
          <w:rFonts w:ascii="Cambria" w:hAnsi="Cambria"/>
          <w:b/>
          <w:color w:val="FF0000"/>
          <w:sz w:val="48"/>
          <w:szCs w:val="48"/>
        </w:rPr>
      </w:r>
    </w:p>
    <w:p>
      <w:pPr>
        <w:pStyle w:val="Normal"/>
        <w:jc w:val="center"/>
        <w:rPr>
          <w:rFonts w:ascii="Cambria" w:hAnsi="Cambria"/>
          <w:b/>
          <w:sz w:val="48"/>
          <w:szCs w:val="48"/>
          <w:highlight w:val="yellow"/>
        </w:rPr>
      </w:pPr>
      <w:r>
        <w:rPr>
          <w:rFonts w:ascii="Cambria" w:hAnsi="Cambria"/>
          <w:b/>
          <w:sz w:val="48"/>
          <w:szCs w:val="48"/>
        </w:rPr>
        <w:t>Curso:</w:t>
      </w:r>
      <w:r>
        <w:rPr>
          <w:rFonts w:ascii="Cambria" w:hAnsi="Cambria"/>
          <w:b/>
          <w:sz w:val="48"/>
          <w:szCs w:val="48"/>
          <w:shd w:fill="auto" w:val="clear"/>
        </w:rPr>
        <w:t xml:space="preserve"> 2023/2024</w:t>
      </w:r>
    </w:p>
    <w:p>
      <w:pPr>
        <w:pStyle w:val="Normal"/>
        <w:jc w:val="center"/>
        <w:rPr>
          <w:rFonts w:ascii="Cambria" w:hAnsi="Cambria"/>
          <w:b/>
          <w:sz w:val="48"/>
          <w:szCs w:val="48"/>
          <w:highlight w:val="yellow"/>
        </w:rPr>
      </w:pPr>
      <w:r>
        <w:rPr>
          <w:rFonts w:ascii="Cambria" w:hAnsi="Cambria"/>
          <w:b/>
          <w:sz w:val="48"/>
          <w:szCs w:val="48"/>
          <w:highlight w:val="yellow"/>
        </w:rPr>
      </w:r>
    </w:p>
    <w:p>
      <w:pPr>
        <w:pStyle w:val="Normal"/>
        <w:jc w:val="center"/>
        <w:rPr>
          <w:rFonts w:ascii="Cambria" w:hAnsi="Cambria"/>
          <w:b/>
          <w:sz w:val="48"/>
          <w:szCs w:val="48"/>
        </w:rPr>
      </w:pPr>
      <w:r>
        <w:rPr>
          <w:rFonts w:ascii="Cambria" w:hAnsi="Cambria"/>
          <w:b/>
          <w:bCs/>
          <w:color w:val="auto"/>
          <w:sz w:val="48"/>
          <w:szCs w:val="48"/>
        </w:rPr>
        <w:t>Profesor:</w:t>
      </w:r>
    </w:p>
    <w:p>
      <w:pPr>
        <w:pStyle w:val="Normal"/>
        <w:jc w:val="center"/>
        <w:rPr>
          <w:rFonts w:ascii="Cambria" w:hAnsi="Cambria"/>
          <w:b/>
          <w:sz w:val="48"/>
          <w:szCs w:val="48"/>
        </w:rPr>
      </w:pPr>
      <w:r>
        <w:rPr>
          <w:rFonts w:ascii="Cambria" w:hAnsi="Cambria"/>
          <w:b/>
          <w:bCs/>
          <w:color w:val="auto"/>
          <w:sz w:val="48"/>
          <w:szCs w:val="48"/>
        </w:rPr>
        <w:t>Ignacio Gómez de Parada López</w:t>
      </w:r>
    </w:p>
    <w:p>
      <w:pPr>
        <w:pStyle w:val="Normal"/>
        <w:rPr/>
      </w:pPr>
      <w:r>
        <w:rPr/>
      </w:r>
      <w:r>
        <w:br w:type="page"/>
      </w:r>
    </w:p>
    <w:p>
      <w:pPr>
        <w:pStyle w:val="Normal"/>
        <w:pBdr>
          <w:bottom w:val="single" w:sz="4" w:space="1" w:color="000000"/>
        </w:pBdr>
        <w:spacing w:lineRule="auto" w:line="240" w:before="0" w:after="120"/>
        <w:jc w:val="center"/>
        <w:rPr>
          <w:rStyle w:val="TtuloCar"/>
        </w:rPr>
      </w:pPr>
      <w:r>
        <w:rPr>
          <w:rFonts w:cs="Cambria" w:ascii="Cambria" w:hAnsi="Cambria"/>
          <w:b/>
          <w:sz w:val="32"/>
          <w:szCs w:val="32"/>
        </w:rPr>
        <w:t>Índice</w:t>
      </w:r>
    </w:p>
    <w:sdt>
      <w:sdtPr>
        <w:docPartObj>
          <w:docPartGallery w:val="Table of Contents"/>
          <w:docPartUnique w:val="true"/>
        </w:docPartObj>
      </w:sdtPr>
      <w:sdtContent>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fldChar w:fldCharType="begin"/>
          </w:r>
          <w:r>
            <w:rPr>
              <w:rFonts w:cs="Calibri"/>
            </w:rPr>
            <w:instrText xml:space="preserve"> TOC \o "1-9" \h</w:instrText>
          </w:r>
          <w:r>
            <w:rPr>
              <w:rFonts w:cs="Calibri"/>
            </w:rPr>
            <w:fldChar w:fldCharType="separate"/>
          </w:r>
          <w:r>
            <w:rPr>
              <w:rFonts w:cs="Calibri"/>
            </w:rPr>
            <w:t>1.</w:t>
          </w:r>
          <w:r>
            <w:rPr>
              <w:rFonts w:eastAsia="" w:cs="" w:cstheme="minorBidi" w:eastAsiaTheme="minorEastAsia"/>
              <w:color w:val="auto"/>
              <w:sz w:val="22"/>
              <w:szCs w:val="22"/>
            </w:rPr>
            <w:tab/>
          </w:r>
          <w:r>
            <w:rPr>
              <w:rFonts w:cs="Calibri"/>
            </w:rPr>
            <w:t>Criterios de evaluación</w:t>
          </w:r>
          <w:r>
            <w:rPr/>
            <w:tab/>
            <w:t>3</w:t>
          </w:r>
        </w:p>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2.</w:t>
          </w:r>
          <w:r>
            <w:rPr>
              <w:rFonts w:eastAsia="" w:cs="" w:cstheme="minorBidi" w:eastAsiaTheme="minorEastAsia"/>
              <w:color w:val="auto"/>
              <w:sz w:val="22"/>
              <w:szCs w:val="22"/>
            </w:rPr>
            <w:tab/>
          </w:r>
          <w:r>
            <w:rPr>
              <w:rFonts w:cs="Calibri"/>
            </w:rPr>
            <w:t>Criterios de calificación</w:t>
          </w:r>
          <w:r>
            <w:rPr/>
            <w:tab/>
            <w:t>3</w:t>
          </w:r>
        </w:p>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3.</w:t>
          </w:r>
          <w:r>
            <w:rPr>
              <w:rFonts w:eastAsia="" w:cs="" w:cstheme="minorBidi" w:eastAsiaTheme="minorEastAsia"/>
              <w:color w:val="auto"/>
              <w:sz w:val="22"/>
              <w:szCs w:val="22"/>
            </w:rPr>
            <w:tab/>
          </w:r>
          <w:r>
            <w:rPr>
              <w:rFonts w:cs="Calibri"/>
            </w:rPr>
            <w:t>Recuperación</w:t>
          </w:r>
          <w:r>
            <w:rPr/>
            <w:tab/>
            <w:t>6</w:t>
          </w:r>
          <w:r>
            <w:rPr/>
            <w:fldChar w:fldCharType="end"/>
          </w:r>
        </w:p>
      </w:sdtContent>
    </w:sdt>
    <w:p>
      <w:pPr>
        <w:pStyle w:val="Index1"/>
        <w:tabs>
          <w:tab w:val="clear" w:pos="708"/>
          <w:tab w:val="right" w:pos="8504" w:leader="dot"/>
        </w:tabs>
        <w:rPr/>
      </w:pPr>
      <w:r>
        <w:rPr/>
      </w:r>
    </w:p>
    <w:p>
      <w:pPr>
        <w:pStyle w:val="Index1"/>
        <w:tabs>
          <w:tab w:val="clear" w:pos="708"/>
          <w:tab w:val="right" w:pos="8504" w:leader="dot"/>
        </w:tabs>
        <w:rPr/>
      </w:pPr>
      <w:r>
        <w:rPr/>
      </w:r>
    </w:p>
    <w:p>
      <w:pPr>
        <w:pStyle w:val="Normal"/>
        <w:rPr/>
      </w:pPr>
      <w:r>
        <w:rPr/>
      </w:r>
    </w:p>
    <w:p>
      <w:pPr>
        <w:pStyle w:val="Normal"/>
        <w:rPr/>
      </w:pPr>
      <w:r>
        <w:rPr/>
      </w:r>
    </w:p>
    <w:p>
      <w:pPr>
        <w:pStyle w:val="Ttulo1"/>
        <w:numPr>
          <w:ilvl w:val="0"/>
          <w:numId w:val="0"/>
        </w:numPr>
        <w:ind w:left="0" w:hanging="0"/>
        <w:rPr>
          <w:rFonts w:cs="Calibri"/>
        </w:rPr>
      </w:pPr>
      <w:r>
        <w:rPr>
          <w:rFonts w:cs="Calibri"/>
        </w:rPr>
      </w:r>
      <w:bookmarkStart w:id="0" w:name="_Toc523819768"/>
      <w:bookmarkStart w:id="1" w:name="_Toc523819751"/>
      <w:bookmarkStart w:id="2" w:name="_Toc523819768"/>
      <w:bookmarkStart w:id="3" w:name="_Toc523819751"/>
      <w:bookmarkEnd w:id="2"/>
      <w:bookmarkEnd w:id="3"/>
    </w:p>
    <w:p>
      <w:pPr>
        <w:pStyle w:val="Normal"/>
        <w:rPr/>
      </w:pPr>
      <w:r>
        <w:rPr/>
      </w:r>
      <w:r>
        <w:br w:type="page"/>
      </w:r>
    </w:p>
    <w:p>
      <w:pPr>
        <w:pStyle w:val="Ttulo2"/>
        <w:numPr>
          <w:ilvl w:val="0"/>
          <w:numId w:val="4"/>
        </w:numPr>
        <w:rPr>
          <w:rFonts w:ascii="Calibri" w:hAnsi="Calibri" w:cs="Calibri"/>
        </w:rPr>
      </w:pPr>
      <w:bookmarkStart w:id="4" w:name="_Toc120557408"/>
      <w:bookmarkStart w:id="5" w:name="_Toc22722999"/>
      <w:r>
        <w:rPr>
          <w:rFonts w:cs="Calibri" w:ascii="Calibri" w:hAnsi="Calibri"/>
        </w:rPr>
        <w:t>Criterios de evaluación</w:t>
      </w:r>
      <w:bookmarkEnd w:id="4"/>
      <w:bookmarkEnd w:id="5"/>
    </w:p>
    <w:p>
      <w:pPr>
        <w:pStyle w:val="Normal"/>
        <w:suppressAutoHyphens w:val="false"/>
        <w:rPr>
          <w:rFonts w:cs="Calibri"/>
          <w:color w:val="000000" w:themeColor="text1"/>
        </w:rPr>
      </w:pPr>
      <w:r>
        <w:rPr>
          <w:rFonts w:cs="Calibri"/>
          <w:color w:val="000000" w:themeColor="text1"/>
        </w:rPr>
        <w:t xml:space="preserve">1. Determina herramientas de monitorización para detectar vulnerabilidades aplicando técnicas de hacking ético. </w:t>
      </w:r>
    </w:p>
    <w:p>
      <w:pPr>
        <w:pStyle w:val="Normal"/>
        <w:suppressAutoHyphens w:val="false"/>
        <w:rPr>
          <w:rFonts w:ascii="MS Gothic" w:hAnsi="MS Gothic" w:eastAsia="MS Gothic" w:cs="MS Gothic"/>
          <w:color w:val="000000" w:themeColor="text1"/>
        </w:rPr>
      </w:pPr>
      <w:r>
        <w:rPr>
          <w:rFonts w:cs="Calibri"/>
          <w:color w:val="000000" w:themeColor="text1"/>
        </w:rPr>
        <w:t xml:space="preserve">a) Se ha definido la terminología esencial del hacking ético.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b) Se han identificado los conceptos éticos y legales frente al ciberdelito.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c) Se ha definido el alcance y condiciones de un test de intrusión.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d) Se han identificado los elementos esenciales de seguridad: confidencialidad, </w:t>
      </w:r>
      <w:r>
        <w:rPr>
          <w:rFonts w:eastAsia="MS Gothic" w:cs="MS Gothic" w:ascii="MS Gothic" w:hAnsi="MS Gothic"/>
          <w:color w:val="000000" w:themeColor="text1"/>
        </w:rPr>
        <w:t> </w:t>
      </w:r>
      <w:r>
        <w:rPr>
          <w:rFonts w:cs="Calibri"/>
          <w:color w:val="000000" w:themeColor="text1"/>
        </w:rPr>
        <w:t xml:space="preserve">autenticidad, integridad y disponibilidad.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e) Se han identificado las fases de un ataque seguidas por un atacante.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f) Se han analizado y definido los tipos vulnerabilidades. </w:t>
      </w:r>
    </w:p>
    <w:p>
      <w:pPr>
        <w:pStyle w:val="Normal"/>
        <w:suppressAutoHyphens w:val="false"/>
        <w:rPr>
          <w:rFonts w:cs="Calibri"/>
          <w:color w:val="000000" w:themeColor="text1"/>
        </w:rPr>
      </w:pPr>
      <w:r>
        <w:rPr>
          <w:rFonts w:cs="Calibri"/>
          <w:color w:val="000000" w:themeColor="text1"/>
        </w:rPr>
        <w:t xml:space="preserve">g) Se han analizado y definido los tipos de ataque. </w:t>
      </w:r>
    </w:p>
    <w:p>
      <w:pPr>
        <w:pStyle w:val="Normal"/>
        <w:suppressAutoHyphens w:val="false"/>
        <w:rPr>
          <w:rFonts w:ascii="MS Gothic" w:hAnsi="MS Gothic" w:eastAsia="MS Gothic" w:cs="MS Gothic"/>
          <w:color w:val="000000" w:themeColor="text1"/>
        </w:rPr>
      </w:pPr>
      <w:r>
        <w:rPr>
          <w:rFonts w:cs="Calibri"/>
          <w:color w:val="000000" w:themeColor="text1"/>
        </w:rPr>
        <w:t xml:space="preserve">h) Se han determinado y caracterizado las diferentes vulnerabilidades existentes.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i) </w:t>
      </w:r>
      <w:r>
        <w:rPr>
          <w:rFonts w:cs="Calibri"/>
          <w:color w:val="000000" w:themeColor="text1"/>
          <w:u w:val="none"/>
        </w:rPr>
        <w:t>S</w:t>
      </w:r>
      <w:r>
        <w:rPr>
          <w:rFonts w:cs="Calibri"/>
          <w:color w:val="000000" w:themeColor="text1"/>
        </w:rPr>
        <w:t xml:space="preserve">e han determinado las herramientas de monitorización disponibles en el mercado </w:t>
      </w:r>
      <w:r>
        <w:rPr>
          <w:rFonts w:eastAsia="MS Gothic" w:cs="MS Gothic" w:ascii="MS Gothic" w:hAnsi="MS Gothic"/>
          <w:color w:val="000000" w:themeColor="text1"/>
        </w:rPr>
        <w:t> </w:t>
      </w:r>
      <w:r>
        <w:rPr>
          <w:rFonts w:cs="Calibri"/>
          <w:color w:val="000000" w:themeColor="text1"/>
        </w:rPr>
        <w:t xml:space="preserve">adecuadas en función del tipo de organización.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2. Ataca y defiende en entornos de prueba, comunicaciones inalámbricas consiguiendo </w:t>
      </w:r>
    </w:p>
    <w:p>
      <w:pPr>
        <w:pStyle w:val="Normal"/>
        <w:suppressAutoHyphens w:val="false"/>
        <w:rPr>
          <w:rFonts w:cs="Calibri"/>
          <w:color w:val="000000" w:themeColor="text1"/>
        </w:rPr>
      </w:pPr>
      <w:r>
        <w:rPr>
          <w:rFonts w:cs="Calibri"/>
          <w:color w:val="000000" w:themeColor="text1"/>
        </w:rPr>
        <w:t xml:space="preserve">acceso a redes para demostrar sus vulnerabilidades. </w:t>
      </w:r>
    </w:p>
    <w:p>
      <w:pPr>
        <w:pStyle w:val="Normal"/>
        <w:suppressAutoHyphens w:val="false"/>
        <w:rPr>
          <w:rFonts w:cs="Calibri"/>
          <w:color w:val="000000" w:themeColor="text1"/>
        </w:rPr>
      </w:pPr>
      <w:r>
        <w:rPr>
          <w:rFonts w:cs="Calibri"/>
          <w:color w:val="000000" w:themeColor="text1"/>
        </w:rPr>
        <w:t xml:space="preserve">a) Se han configurado los distintos modos de funcionamiento de las tarjetas de red </w:t>
      </w:r>
      <w:r>
        <w:rPr>
          <w:rFonts w:eastAsia="MS Gothic" w:cs="MS Gothic" w:ascii="MS Gothic" w:hAnsi="MS Gothic"/>
          <w:color w:val="000000" w:themeColor="text1"/>
        </w:rPr>
        <w:t> </w:t>
      </w:r>
      <w:r>
        <w:rPr>
          <w:rFonts w:cs="Calibri"/>
          <w:color w:val="000000" w:themeColor="text1"/>
        </w:rPr>
        <w:t xml:space="preserve">inalámbricas. </w:t>
      </w:r>
    </w:p>
    <w:p>
      <w:pPr>
        <w:pStyle w:val="Normal"/>
        <w:suppressAutoHyphens w:val="false"/>
        <w:rPr>
          <w:rFonts w:ascii="MS Gothic" w:hAnsi="MS Gothic" w:eastAsia="MS Gothic" w:cs="MS Gothic"/>
          <w:color w:val="000000" w:themeColor="text1"/>
        </w:rPr>
      </w:pPr>
      <w:r>
        <w:rPr>
          <w:rFonts w:cs="Calibri"/>
          <w:color w:val="000000" w:themeColor="text1"/>
        </w:rPr>
        <w:t xml:space="preserve">b) Se han descrito las técnicas de encriptación de las redes inalámbricas y sus </w:t>
      </w:r>
      <w:r>
        <w:rPr>
          <w:rFonts w:eastAsia="MS Gothic" w:cs="MS Gothic" w:ascii="MS Gothic" w:hAnsi="MS Gothic"/>
          <w:color w:val="000000" w:themeColor="text1"/>
        </w:rPr>
        <w:t> </w:t>
      </w:r>
      <w:r>
        <w:rPr>
          <w:rFonts w:cs="Calibri"/>
          <w:color w:val="000000" w:themeColor="text1"/>
        </w:rPr>
        <w:t xml:space="preserve">puntos vulnerables.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c) Se han detectado redes inalámbricas y se ha capturado tráfico de red como paso </w:t>
      </w:r>
      <w:r>
        <w:rPr>
          <w:rFonts w:eastAsia="MS Gothic" w:cs="MS Gothic" w:ascii="MS Gothic" w:hAnsi="MS Gothic"/>
          <w:color w:val="000000" w:themeColor="text1"/>
        </w:rPr>
        <w:t> </w:t>
      </w:r>
      <w:r>
        <w:rPr>
          <w:rFonts w:cs="Calibri"/>
          <w:color w:val="000000" w:themeColor="text1"/>
        </w:rPr>
        <w:t xml:space="preserve">previo a su ataque.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d) Se ha accedido a redes inalámbricas vulnerables.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e) Se han caracterizado otros sistemas de comunicación inalámbricos y sus vulnerabilidades.</w:t>
      </w:r>
    </w:p>
    <w:p>
      <w:pPr>
        <w:pStyle w:val="Normal"/>
        <w:suppressAutoHyphens w:val="false"/>
        <w:rPr>
          <w:rFonts w:cs="Calibri"/>
          <w:color w:val="000000" w:themeColor="text1"/>
        </w:rPr>
      </w:pPr>
      <w:r>
        <w:rPr>
          <w:rFonts w:cs="Calibri"/>
          <w:color w:val="000000" w:themeColor="text1"/>
        </w:rPr>
        <w:t xml:space="preserve">f) Se han utilizado técnicas de “Equipo Rojo y Azul”. </w:t>
      </w:r>
    </w:p>
    <w:p>
      <w:pPr>
        <w:pStyle w:val="Normal"/>
        <w:suppressAutoHyphens w:val="false"/>
        <w:rPr>
          <w:rFonts w:cs="Calibri"/>
          <w:color w:val="000000" w:themeColor="text1"/>
        </w:rPr>
      </w:pPr>
      <w:r>
        <w:rPr>
          <w:rFonts w:cs="Calibri"/>
          <w:color w:val="000000" w:themeColor="text1"/>
        </w:rPr>
        <w:t xml:space="preserve">g) Se han realizado informes sobre las vulnerabilidades detectadas.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3. Ataca y defiende en entornos de prueba, redes y sistemas consiguiendo acceso a información y sistemas de terceros. </w:t>
      </w:r>
    </w:p>
    <w:p>
      <w:pPr>
        <w:pStyle w:val="Normal"/>
        <w:suppressAutoHyphens w:val="false"/>
        <w:rPr>
          <w:rFonts w:ascii="MS Gothic" w:hAnsi="MS Gothic" w:eastAsia="MS Gothic" w:cs="MS Gothic"/>
          <w:color w:val="000000" w:themeColor="text1"/>
        </w:rPr>
      </w:pPr>
      <w:r>
        <w:rPr>
          <w:rFonts w:cs="Calibri"/>
          <w:color w:val="000000" w:themeColor="text1"/>
        </w:rPr>
        <w:t xml:space="preserve">a) Se ha recopilado información sobre la red y sistemas objetivo mediante técnicas pasivas.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b) Se ha creado un inventario de equipos, cuentas de usuario y potenciales vulnerabilidades de la red y sistemas objetivo mediante técnicas activas.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c) </w:t>
      </w:r>
      <w:r>
        <w:rPr>
          <w:rFonts w:cs="Calibri"/>
          <w:color w:val="000000" w:themeColor="text1"/>
        </w:rPr>
        <w:t>S</w:t>
      </w:r>
      <w:r>
        <w:rPr>
          <w:rFonts w:cs="Calibri"/>
          <w:color w:val="000000" w:themeColor="text1"/>
        </w:rPr>
        <w:t xml:space="preserve">e ha interceptado tráfico de red de terceros para buscar información sensible. </w:t>
      </w:r>
      <w:r>
        <w:rPr>
          <w:rFonts w:eastAsia="MS Gothic" w:cs="MS Gothic" w:ascii="MS Gothic" w:hAnsi="MS Gothic"/>
          <w:color w:val="000000" w:themeColor="text1"/>
        </w:rPr>
        <w:t> </w:t>
      </w:r>
    </w:p>
    <w:p>
      <w:pPr>
        <w:pStyle w:val="Normal"/>
        <w:suppressAutoHyphens w:val="false"/>
        <w:rPr>
          <w:rFonts w:ascii="MS Gothic" w:hAnsi="MS Gothic" w:eastAsia="MS Gothic" w:cs="MS Gothic"/>
          <w:color w:val="000000" w:themeColor="text1"/>
        </w:rPr>
      </w:pPr>
      <w:r>
        <w:rPr>
          <w:rFonts w:cs="Calibri"/>
          <w:color w:val="000000" w:themeColor="text1"/>
        </w:rPr>
        <w:t xml:space="preserve">d) Se ha realizado un ataque de intermediario, leyendo, insertando y modificando, a </w:t>
      </w:r>
      <w:r>
        <w:rPr>
          <w:rFonts w:eastAsia="MS Gothic" w:cs="MS Gothic" w:ascii="MS Gothic" w:hAnsi="MS Gothic"/>
          <w:color w:val="000000" w:themeColor="text1"/>
        </w:rPr>
        <w:t> </w:t>
      </w:r>
      <w:r>
        <w:rPr>
          <w:rFonts w:cs="Calibri"/>
          <w:color w:val="000000" w:themeColor="text1"/>
        </w:rPr>
        <w:t xml:space="preserve">voluntad, el tráfico intercambiado por dos extremos remotos.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e) Se han comprometido sistemas remotos explotando sus vulnerabilidades.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4. Consolida y utiliza sistemas comprometidos garantizando accesos futuros. </w:t>
      </w:r>
    </w:p>
    <w:p>
      <w:pPr>
        <w:pStyle w:val="Normal"/>
        <w:suppressAutoHyphens w:val="false"/>
        <w:rPr>
          <w:rFonts w:cs="Calibri"/>
          <w:color w:val="000000" w:themeColor="text1"/>
        </w:rPr>
      </w:pPr>
      <w:r>
        <w:rPr>
          <w:rFonts w:cs="Calibri"/>
          <w:color w:val="000000" w:themeColor="text1"/>
        </w:rPr>
        <w:t xml:space="preserve">a) Se han administrado sistemas remotos a través de herramientas de línea de comandos. </w:t>
      </w:r>
    </w:p>
    <w:p>
      <w:pPr>
        <w:pStyle w:val="Normal"/>
        <w:suppressAutoHyphens w:val="false"/>
        <w:rPr>
          <w:rFonts w:ascii="MS Gothic" w:hAnsi="MS Gothic" w:eastAsia="MS Gothic" w:cs="MS Gothic"/>
          <w:color w:val="000000" w:themeColor="text1"/>
        </w:rPr>
      </w:pPr>
      <w:r>
        <w:rPr>
          <w:rFonts w:cs="Calibri"/>
          <w:color w:val="000000" w:themeColor="text1"/>
        </w:rPr>
        <w:t xml:space="preserve">b) Se han comprometido contraseñas a través de ataques de diccionario, tablas rainbow y fuerza bruta contra sus versiones encriptadas.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c) </w:t>
      </w:r>
      <w:r>
        <w:rPr>
          <w:rFonts w:cs="Calibri"/>
          <w:color w:val="000000" w:themeColor="text1"/>
        </w:rPr>
        <w:t>S</w:t>
      </w:r>
      <w:r>
        <w:rPr>
          <w:rFonts w:cs="Calibri"/>
          <w:color w:val="000000" w:themeColor="text1"/>
        </w:rPr>
        <w:t xml:space="preserve">e ha accedido a sistemas adicionales a través de sistemas comprometidos. </w:t>
      </w:r>
    </w:p>
    <w:p>
      <w:pPr>
        <w:pStyle w:val="Normal"/>
        <w:suppressAutoHyphens w:val="false"/>
        <w:rPr>
          <w:rFonts w:cs="Calibri"/>
          <w:color w:val="000000" w:themeColor="text1"/>
        </w:rPr>
      </w:pPr>
      <w:r>
        <w:rPr>
          <w:rFonts w:cs="Calibri"/>
          <w:color w:val="000000" w:themeColor="text1"/>
        </w:rPr>
        <w:t xml:space="preserve">d) Se han instalado puertas traseras para garantizar accesos futuros a los sistemas </w:t>
      </w:r>
      <w:r>
        <w:rPr>
          <w:rFonts w:eastAsia="MS Gothic" w:cs="MS Gothic" w:ascii="MS Gothic" w:hAnsi="MS Gothic"/>
          <w:color w:val="000000" w:themeColor="text1"/>
        </w:rPr>
        <w:t> </w:t>
      </w:r>
      <w:r>
        <w:rPr>
          <w:rFonts w:cs="Calibri"/>
          <w:color w:val="000000" w:themeColor="text1"/>
        </w:rPr>
        <w:t xml:space="preserve">comprometidos.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5. Ataca y defiende en entornos de prueba, aplicaciones web consiguiendo acceso a datos o funcionalidades no autorizadas. </w:t>
      </w:r>
    </w:p>
    <w:p>
      <w:pPr>
        <w:pStyle w:val="Normal"/>
        <w:suppressAutoHyphens w:val="false"/>
        <w:rPr>
          <w:rFonts w:ascii="MS Gothic" w:hAnsi="MS Gothic" w:eastAsia="MS Gothic" w:cs="MS Gothic"/>
          <w:color w:val="000000" w:themeColor="text1"/>
        </w:rPr>
      </w:pPr>
      <w:r>
        <w:rPr>
          <w:rFonts w:cs="Calibri"/>
          <w:color w:val="000000" w:themeColor="text1"/>
        </w:rPr>
        <w:t xml:space="preserve">a) Se han identificado los distintos sistemas de autenticación web, destacando sus debilidades y fortalezas. </w:t>
      </w:r>
      <w:r>
        <w:rPr>
          <w:rFonts w:eastAsia="MS Gothic" w:cs="MS Gothic" w:ascii="MS Gothic" w:hAnsi="MS Gothic"/>
          <w:color w:val="000000" w:themeColor="text1"/>
        </w:rPr>
        <w:t> </w:t>
      </w:r>
    </w:p>
    <w:p>
      <w:pPr>
        <w:pStyle w:val="Normal"/>
        <w:suppressAutoHyphens w:val="false"/>
        <w:rPr>
          <w:rFonts w:cs="Calibri"/>
          <w:color w:val="000000" w:themeColor="text1"/>
        </w:rPr>
      </w:pPr>
      <w:r>
        <w:rPr>
          <w:rFonts w:cs="Calibri"/>
          <w:color w:val="000000" w:themeColor="text1"/>
        </w:rPr>
        <w:t xml:space="preserve">b) Se ha realizado un inventario de equipos, protocolos, servicios y sistemas operativos que proporcionan el servicio de una aplicación web. </w:t>
      </w:r>
    </w:p>
    <w:p>
      <w:pPr>
        <w:pStyle w:val="Normal"/>
        <w:suppressAutoHyphens w:val="false"/>
        <w:rPr>
          <w:rFonts w:ascii="MS Gothic" w:hAnsi="MS Gothic" w:eastAsia="MS Gothic" w:cs="MS Gothic"/>
          <w:color w:val="000000" w:themeColor="text1"/>
        </w:rPr>
      </w:pPr>
      <w:r>
        <w:rPr>
          <w:rFonts w:cs="Calibri"/>
          <w:color w:val="000000" w:themeColor="text1"/>
        </w:rPr>
        <w:t xml:space="preserve">c) Se ha analizado el flujo de las interacciones realizadas entre el navegador y la </w:t>
      </w:r>
      <w:r>
        <w:rPr>
          <w:rFonts w:eastAsia="MS Gothic" w:cs="MS Gothic" w:ascii="MS Gothic" w:hAnsi="MS Gothic"/>
          <w:color w:val="000000" w:themeColor="text1"/>
        </w:rPr>
        <w:t> </w:t>
      </w:r>
      <w:r>
        <w:rPr>
          <w:rFonts w:cs="Calibri"/>
          <w:color w:val="000000" w:themeColor="text1"/>
        </w:rPr>
        <w:t xml:space="preserve">aplicación web durante su uso normal. </w:t>
      </w:r>
      <w:r>
        <w:rPr>
          <w:rFonts w:eastAsia="MS Gothic" w:cs="MS Gothic" w:ascii="MS Gothic" w:hAnsi="MS Gothic"/>
          <w:color w:val="000000" w:themeColor="text1"/>
        </w:rPr>
        <w:t> </w:t>
      </w:r>
    </w:p>
    <w:p>
      <w:pPr>
        <w:pStyle w:val="Normal"/>
        <w:suppressAutoHyphens w:val="false"/>
        <w:rPr>
          <w:rFonts w:ascii="Calibri" w:hAnsi="Calibri" w:cs="Calibri"/>
          <w:color w:val="000000" w:themeColor="text1"/>
          <w:sz w:val="24"/>
          <w:szCs w:val="24"/>
        </w:rPr>
      </w:pPr>
      <w:r>
        <w:rPr>
          <w:rFonts w:cs="Calibri"/>
          <w:color w:val="000000" w:themeColor="text1"/>
          <w:sz w:val="24"/>
          <w:szCs w:val="24"/>
        </w:rPr>
        <w:t xml:space="preserve">d) Se han examinado manualmente aplicaciones web en busca de las vulnerabilidades  más habituales. </w:t>
      </w:r>
    </w:p>
    <w:p>
      <w:pPr>
        <w:pStyle w:val="Normal"/>
        <w:suppressAutoHyphens w:val="false"/>
        <w:rPr>
          <w:rFonts w:ascii="Calibri" w:hAnsi="Calibri" w:cs="Calibri"/>
          <w:color w:val="000000" w:themeColor="text1"/>
          <w:sz w:val="24"/>
          <w:szCs w:val="24"/>
        </w:rPr>
      </w:pPr>
      <w:r>
        <w:rPr>
          <w:rFonts w:cs="Calibri"/>
          <w:color w:val="000000" w:themeColor="text1"/>
          <w:sz w:val="24"/>
          <w:szCs w:val="24"/>
        </w:rPr>
        <w:t xml:space="preserve">e) Se han usado herramientas de búsquedas y explotación de vulnerabilidades web. </w:t>
      </w:r>
    </w:p>
    <w:p>
      <w:pPr>
        <w:pStyle w:val="Normal"/>
        <w:suppressAutoHyphens w:val="false"/>
        <w:rPr/>
      </w:pPr>
      <w:r>
        <w:rPr>
          <w:rFonts w:cs="Calibri"/>
          <w:color w:val="000000" w:themeColor="text1"/>
          <w:sz w:val="24"/>
          <w:szCs w:val="24"/>
        </w:rPr>
        <w:t>f) Se ha realizado la búsqueda y explotación de vulnerabilidades web mediante  herramientas software.</w:t>
      </w:r>
    </w:p>
    <w:p>
      <w:pPr>
        <w:pStyle w:val="Normal"/>
        <w:ind w:left="720" w:hanging="0"/>
        <w:jc w:val="left"/>
        <w:rPr/>
      </w:pPr>
      <w:r>
        <w:rPr/>
      </w:r>
    </w:p>
    <w:p>
      <w:pPr>
        <w:pStyle w:val="Ttulo2"/>
        <w:numPr>
          <w:ilvl w:val="0"/>
          <w:numId w:val="4"/>
        </w:numPr>
        <w:rPr>
          <w:rFonts w:ascii="Calibri" w:hAnsi="Calibri" w:cs="Calibri"/>
        </w:rPr>
      </w:pPr>
      <w:bookmarkStart w:id="6" w:name="_Toc120557409"/>
      <w:bookmarkStart w:id="7" w:name="_Toc22723000"/>
      <w:r>
        <w:rPr>
          <w:rFonts w:cs="Calibri" w:ascii="Calibri" w:hAnsi="Calibri"/>
        </w:rPr>
        <w:t>Criterios de calificación</w:t>
      </w:r>
      <w:bookmarkStart w:id="8" w:name="_Toc22723001"/>
      <w:bookmarkEnd w:id="6"/>
      <w:bookmarkEnd w:id="7"/>
    </w:p>
    <w:p>
      <w:pPr>
        <w:pStyle w:val="Normal"/>
        <w:ind w:firstLine="576"/>
        <w:rPr>
          <w:color w:val="auto"/>
        </w:rPr>
      </w:pPr>
      <w:r>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pPr>
        <w:pStyle w:val="Normal"/>
        <w:rPr>
          <w:rFonts w:cs="Calibri"/>
          <w:color w:val="auto"/>
        </w:rPr>
      </w:pPr>
      <w:r>
        <w:rPr>
          <w:rFonts w:cs="Calibri"/>
          <w:color w:val="auto"/>
        </w:rPr>
      </w:r>
    </w:p>
    <w:p>
      <w:pPr>
        <w:pStyle w:val="Normal"/>
        <w:ind w:firstLine="360"/>
        <w:rPr>
          <w:color w:val="auto"/>
        </w:rPr>
      </w:pPr>
      <w:r>
        <w:rPr>
          <w:rFonts w:cs="Calibri"/>
          <w:color w:val="auto"/>
        </w:rPr>
        <w:t>En cada una de las evaluaciones se calificarán los siguientes conceptos:</w:t>
      </w:r>
    </w:p>
    <w:p>
      <w:pPr>
        <w:pStyle w:val="Normal"/>
        <w:numPr>
          <w:ilvl w:val="0"/>
          <w:numId w:val="2"/>
        </w:numPr>
        <w:rPr>
          <w:color w:val="auto"/>
        </w:rPr>
      </w:pPr>
      <w:r>
        <w:rPr>
          <w:rFonts w:cs="Calibri"/>
          <w:color w:val="auto"/>
        </w:rPr>
        <w:t xml:space="preserve">Una actividad de enseñanza-aprendizaje (proyectos o trabajos realizados por el alumno): </w:t>
      </w:r>
      <w:r>
        <w:rPr>
          <w:rFonts w:cs="Calibri"/>
          <w:color w:val="auto"/>
        </w:rPr>
        <w:t>40</w:t>
      </w:r>
      <w:r>
        <w:rPr>
          <w:rFonts w:cs="Calibri"/>
          <w:color w:val="auto"/>
        </w:rPr>
        <w:t>% de la nota.</w:t>
      </w:r>
    </w:p>
    <w:p>
      <w:pPr>
        <w:pStyle w:val="Normal"/>
        <w:numPr>
          <w:ilvl w:val="0"/>
          <w:numId w:val="2"/>
        </w:numPr>
        <w:rPr>
          <w:color w:val="auto"/>
        </w:rPr>
      </w:pPr>
      <w:r>
        <w:rPr>
          <w:rFonts w:cs="Calibri"/>
          <w:color w:val="auto"/>
        </w:rPr>
        <w:t xml:space="preserve">Un examen escrito con contenido </w:t>
      </w:r>
      <w:r>
        <w:rPr>
          <w:rFonts w:cs="Calibri"/>
          <w:color w:val="auto"/>
        </w:rPr>
        <w:t xml:space="preserve">teórico y </w:t>
      </w:r>
      <w:r>
        <w:rPr>
          <w:rFonts w:cs="Calibri"/>
          <w:color w:val="auto"/>
        </w:rPr>
        <w:t xml:space="preserve">práctico </w:t>
      </w:r>
      <w:r>
        <w:rPr>
          <w:rFonts w:cs="Calibri"/>
          <w:color w:val="auto"/>
        </w:rPr>
        <w:t>por cada unidad de trabajo</w:t>
      </w:r>
      <w:r>
        <w:rPr>
          <w:rFonts w:cs="Calibri"/>
          <w:color w:val="auto"/>
        </w:rPr>
        <w:t xml:space="preserve">: </w:t>
      </w:r>
      <w:r>
        <w:rPr>
          <w:rFonts w:cs="Calibri"/>
          <w:color w:val="auto"/>
        </w:rPr>
        <w:t>60</w:t>
      </w:r>
      <w:r>
        <w:rPr>
          <w:rFonts w:cs="Calibri"/>
          <w:color w:val="auto"/>
        </w:rPr>
        <w:t xml:space="preserve">% de la nota. </w:t>
      </w:r>
    </w:p>
    <w:p>
      <w:pPr>
        <w:pStyle w:val="Normal"/>
        <w:ind w:left="360" w:hanging="0"/>
        <w:rPr>
          <w:rFonts w:cs="Calibri"/>
          <w:color w:val="auto"/>
        </w:rPr>
      </w:pPr>
      <w:r>
        <w:rPr>
          <w:rFonts w:cs="Calibri"/>
          <w:color w:val="auto"/>
        </w:rPr>
      </w:r>
    </w:p>
    <w:p>
      <w:pPr>
        <w:pStyle w:val="Normal"/>
        <w:ind w:firstLine="360"/>
        <w:rPr>
          <w:color w:val="auto"/>
        </w:rPr>
      </w:pPr>
      <w:r>
        <w:rPr>
          <w:rFonts w:cs="Calibri"/>
          <w:color w:val="auto"/>
        </w:rPr>
        <w:t>Sin embargo, para superar cada evaluación es necesario:</w:t>
      </w:r>
    </w:p>
    <w:p>
      <w:pPr>
        <w:pStyle w:val="Normal"/>
        <w:numPr>
          <w:ilvl w:val="0"/>
          <w:numId w:val="3"/>
        </w:numPr>
        <w:rPr>
          <w:color w:val="auto"/>
        </w:rPr>
      </w:pPr>
      <w:r>
        <w:rPr>
          <w:rFonts w:cs="Calibri"/>
          <w:color w:val="auto"/>
        </w:rPr>
        <w:t>Haber obtenido al menos un 4,5 en</w:t>
      </w:r>
      <w:r>
        <w:rPr>
          <w:rFonts w:cs="Calibri"/>
          <w:b/>
          <w:color w:val="auto"/>
        </w:rPr>
        <w:t xml:space="preserve"> cada uno</w:t>
      </w:r>
      <w:r>
        <w:rPr>
          <w:rFonts w:cs="Calibri"/>
          <w:color w:val="auto"/>
        </w:rPr>
        <w:t xml:space="preserve"> de los exámenes escritos con contenido práctico y en cada una de las actividades de enseñanza-aprendizaje.</w:t>
      </w:r>
    </w:p>
    <w:p>
      <w:pPr>
        <w:pStyle w:val="Normal"/>
        <w:numPr>
          <w:ilvl w:val="0"/>
          <w:numId w:val="3"/>
        </w:numPr>
        <w:rPr>
          <w:color w:val="auto"/>
        </w:rPr>
      </w:pPr>
      <w:r>
        <w:rPr>
          <w:rFonts w:cs="Calibri"/>
          <w:color w:val="auto"/>
        </w:rPr>
        <w:t>Haber obtenido al menos un 4,5 sobre 10 en la nota de cada evaluación.</w:t>
      </w:r>
    </w:p>
    <w:p>
      <w:pPr>
        <w:pStyle w:val="Normal"/>
        <w:ind w:firstLine="708"/>
        <w:jc w:val="center"/>
        <w:rPr>
          <w:color w:val="auto"/>
        </w:rPr>
      </w:pPr>
      <w:r>
        <w:rPr>
          <w:rFonts w:cs="Calibri"/>
          <w:b/>
          <w:bCs/>
          <w:color w:val="auto"/>
        </w:rPr>
        <w:t>No se considera la evaluación superada si no se cumplen los dos criterios anteriores.</w:t>
      </w:r>
    </w:p>
    <w:p>
      <w:pPr>
        <w:pStyle w:val="Normal"/>
        <w:ind w:left="360" w:hanging="0"/>
        <w:rPr>
          <w:rFonts w:cs="Calibri"/>
          <w:color w:val="auto"/>
        </w:rPr>
      </w:pPr>
      <w:r>
        <w:rPr>
          <w:rFonts w:cs="Calibri"/>
          <w:color w:val="auto"/>
        </w:rPr>
      </w:r>
    </w:p>
    <w:tbl>
      <w:tblPr>
        <w:tblW w:w="8645" w:type="dxa"/>
        <w:jc w:val="left"/>
        <w:tblInd w:w="103" w:type="dxa"/>
        <w:tblLayout w:type="fixed"/>
        <w:tblCellMar>
          <w:top w:w="0" w:type="dxa"/>
          <w:left w:w="103" w:type="dxa"/>
          <w:bottom w:w="0" w:type="dxa"/>
          <w:right w:w="108" w:type="dxa"/>
        </w:tblCellMar>
        <w:tblLook w:val="04a0"/>
      </w:tblPr>
      <w:tblGrid>
        <w:gridCol w:w="8645"/>
      </w:tblGrid>
      <w:tr>
        <w:trPr>
          <w:cantSplit w:val="true"/>
        </w:trPr>
        <w:tc>
          <w:tcPr>
            <w:tcW w:w="86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color w:val="auto"/>
              </w:rPr>
            </w:pPr>
            <w:r>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pPr>
              <w:pStyle w:val="Normal"/>
              <w:widowControl w:val="false"/>
              <w:jc w:val="center"/>
              <w:rPr>
                <w:rFonts w:cs="Calibri"/>
                <w:b/>
                <w:color w:val="auto"/>
              </w:rPr>
            </w:pPr>
            <w:r>
              <w:rPr>
                <w:rFonts w:cs="Calibri"/>
                <w:b/>
                <w:color w:val="auto"/>
              </w:rPr>
            </w:r>
          </w:p>
          <w:p>
            <w:pPr>
              <w:pStyle w:val="Normal"/>
              <w:widowControl w:val="false"/>
              <w:jc w:val="center"/>
              <w:rPr>
                <w:color w:val="auto"/>
              </w:rPr>
            </w:pPr>
            <w:r>
              <w:rPr>
                <w:rFonts w:cs="Calibri"/>
                <w:b/>
                <w:color w:val="auto"/>
              </w:rPr>
              <w:t>Si el alumno no supera una o varias evaluaciones, la nota final será de suspenso.</w:t>
            </w:r>
          </w:p>
          <w:p>
            <w:pPr>
              <w:pStyle w:val="Normal"/>
              <w:widowControl w:val="false"/>
              <w:jc w:val="center"/>
              <w:rPr>
                <w:rFonts w:cs="Calibri"/>
                <w:b/>
                <w:color w:val="auto"/>
              </w:rPr>
            </w:pPr>
            <w:r>
              <w:rPr>
                <w:rFonts w:cs="Calibri"/>
                <w:b/>
                <w:color w:val="auto"/>
              </w:rPr>
            </w:r>
          </w:p>
        </w:tc>
      </w:tr>
    </w:tbl>
    <w:p>
      <w:pPr>
        <w:pStyle w:val="Normal"/>
        <w:rPr>
          <w:rFonts w:ascii="Calibri" w:hAnsi="Calibri" w:asciiTheme="minorHAnsi" w:hAnsiTheme="minorHAnsi"/>
          <w:color w:val="auto"/>
          <w:spacing w:val="-2"/>
          <w:u w:val="single"/>
        </w:rPr>
      </w:pPr>
      <w:r>
        <w:rPr>
          <w:rFonts w:asciiTheme="minorHAnsi" w:hAnsiTheme="minorHAnsi"/>
          <w:color w:val="auto"/>
          <w:spacing w:val="-2"/>
          <w:u w:val="single"/>
        </w:rPr>
      </w:r>
    </w:p>
    <w:p>
      <w:pPr>
        <w:pStyle w:val="Normal"/>
        <w:tabs>
          <w:tab w:val="clear" w:pos="708"/>
          <w:tab w:val="left" w:pos="-720" w:leader="none"/>
        </w:tabs>
        <w:rPr>
          <w:color w:val="auto"/>
        </w:rPr>
      </w:pPr>
      <w:r>
        <w:rPr>
          <w:rFonts w:asciiTheme="minorHAnsi" w:hAnsiTheme="minorHAnsi"/>
          <w:color w:val="auto"/>
          <w:spacing w:val="-2"/>
          <w:u w:val="single"/>
        </w:rPr>
        <w:t>Alumnos con pérdida de la Evaluación Continua Y Alumnos con Evaluación continua que no superen el módulo.</w:t>
      </w:r>
    </w:p>
    <w:p>
      <w:pPr>
        <w:pStyle w:val="Normal"/>
        <w:rPr>
          <w:color w:val="auto"/>
        </w:rPr>
      </w:pPr>
      <w:r>
        <w:rPr>
          <w:rFonts w:cs="Calibri"/>
          <w:color w:val="auto"/>
        </w:rPr>
        <w:t xml:space="preserve">Dado el carácter práctico de la Formación Profesional, se establece una calificación </w:t>
      </w:r>
    </w:p>
    <w:p>
      <w:pPr>
        <w:pStyle w:val="Normal"/>
        <w:rPr>
          <w:color w:val="auto"/>
        </w:rPr>
      </w:pPr>
      <w:r>
        <w:rPr>
          <w:rFonts w:asciiTheme="minorHAnsi" w:hAnsiTheme="minorHAnsi"/>
          <w:color w:val="auto"/>
          <w:spacing w:val="-2"/>
        </w:rPr>
        <w:t>Realizarán una prueba final que supondrá el 100% de la calificación, estado está comprendida entre 1-10. El alumno deberá obtener una calificación final igual o superior a 5 sobr</w:t>
      </w:r>
      <w:r>
        <w:rPr>
          <w:rFonts w:cs="Calibri"/>
          <w:color w:val="auto"/>
        </w:rPr>
        <w:t>e 10 para superar el módulo.</w:t>
      </w:r>
    </w:p>
    <w:p>
      <w:pPr>
        <w:pStyle w:val="Normal"/>
        <w:rPr>
          <w:rFonts w:ascii="Calibri" w:hAnsi="Calibri" w:cs="Calibri" w:asciiTheme="minorHAnsi" w:hAnsiTheme="minorHAnsi"/>
          <w:color w:themeColor="accent1"/>
        </w:rPr>
      </w:pPr>
      <w:r>
        <w:rPr>
          <w:color w:val="auto"/>
        </w:rPr>
      </w:r>
    </w:p>
    <w:p>
      <w:pPr>
        <w:pStyle w:val="Ttulo2"/>
        <w:numPr>
          <w:ilvl w:val="0"/>
          <w:numId w:val="4"/>
        </w:numPr>
        <w:rPr>
          <w:rFonts w:ascii="Calibri" w:hAnsi="Calibri" w:cs="Calibri"/>
        </w:rPr>
      </w:pPr>
      <w:bookmarkStart w:id="9" w:name="_Toc120557410"/>
      <w:r>
        <w:rPr>
          <w:rFonts w:cs="Calibri" w:ascii="Calibri" w:hAnsi="Calibri"/>
        </w:rPr>
        <w:t>Recuperación</w:t>
      </w:r>
      <w:bookmarkEnd w:id="8"/>
      <w:bookmarkEnd w:id="9"/>
    </w:p>
    <w:p>
      <w:pPr>
        <w:pStyle w:val="Normal"/>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pPr>
        <w:pStyle w:val="Normal"/>
        <w:ind w:firstLine="708"/>
        <w:rPr>
          <w:color w:val="auto"/>
          <w:highlight w:val="none"/>
          <w:shd w:fill="auto" w:val="clear"/>
        </w:rPr>
      </w:pPr>
      <w:r>
        <w:rPr>
          <w:rFonts w:cs="Calibri"/>
          <w:color w:val="000000"/>
          <w:shd w:fill="auto" w:val="clear"/>
        </w:rPr>
        <w:t>Para poder aprobar los exámenes suspensos, el estudiante se podrá presentar a un segundo examen que abarque el mismo temario en el mismo trimestre o al principio del siguiente. Si volviesen a suspender el examen, se podrá presentar al examen de la primera y en caso necesario, la segunda ordinaria para poder presentarse a otro examen sólo con las materias suspensas.</w:t>
      </w:r>
    </w:p>
    <w:p>
      <w:pPr>
        <w:pStyle w:val="Normal"/>
        <w:ind w:firstLine="708"/>
        <w:rPr>
          <w:rFonts w:cs="Calibri"/>
          <w:color w:val="000000" w:themeColor="text1"/>
        </w:rPr>
      </w:pPr>
      <w:r>
        <w:rPr>
          <w:rFonts w:cs="Calibri"/>
          <w:color w:val="000000" w:themeColor="text1"/>
        </w:rPr>
      </w:r>
    </w:p>
    <w:p>
      <w:pPr>
        <w:pStyle w:val="Normal"/>
        <w:rPr>
          <w:rFonts w:cs="Calibri"/>
          <w:color w:val="000000" w:themeColor="text1"/>
          <w:u w:val="single"/>
        </w:rPr>
      </w:pPr>
      <w:r>
        <w:rPr>
          <w:rFonts w:cs="Calibri"/>
          <w:color w:val="000000" w:themeColor="text1"/>
          <w:u w:val="single"/>
        </w:rPr>
        <w:t>Acceso a la segunda convocatoria ordinaria</w:t>
      </w:r>
    </w:p>
    <w:p>
      <w:pPr>
        <w:pStyle w:val="Normal"/>
        <w:ind w:firstLine="708"/>
        <w:rPr>
          <w:rFonts w:ascii="Calibri" w:hAnsi="Calibri" w:asciiTheme="minorHAnsi" w:hAnsiTheme="minorHAnsi"/>
          <w:color w:val="000000" w:themeColor="text1"/>
        </w:rPr>
      </w:pPr>
      <w:r>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pPr>
        <w:pStyle w:val="Normal"/>
        <w:ind w:firstLine="708"/>
        <w:rPr>
          <w:rFonts w:cs="Calibri"/>
        </w:rPr>
      </w:pPr>
      <w:r>
        <w:rPr>
          <w:rFonts w:cs="Calibri"/>
        </w:rPr>
        <w:t>El acceso a la segunda convocatoria ordinaria se realizará independientemente del tipo de matrícula del alumno (ordinaria o modular).</w:t>
      </w:r>
    </w:p>
    <w:p>
      <w:pPr>
        <w:pStyle w:val="Normal"/>
        <w:ind w:firstLine="576"/>
        <w:rPr>
          <w:color w:val="auto"/>
        </w:rPr>
      </w:pPr>
      <w:r>
        <w:rPr>
          <w:rFonts w:asciiTheme="minorHAnsi" w:hAnsiTheme="minorHAnsi"/>
          <w:color w:val="auto"/>
        </w:rPr>
        <w:t>A</w:t>
      </w:r>
      <w:r>
        <w:rPr>
          <w:rFonts w:cs="Calibri"/>
          <w:color w:val="auto"/>
        </w:rPr>
        <w:t xml:space="preserve">ntes de la realización de la segunda convocatoria ordinaria si el profesor lo considera oportuno se programarán ejercicios de recuperación que se deberán de entregar en la fecha establecida por cada profesor. </w:t>
      </w:r>
    </w:p>
    <w:p>
      <w:pPr>
        <w:pStyle w:val="Normal"/>
        <w:ind w:firstLine="576"/>
        <w:rPr>
          <w:color w:val="auto"/>
        </w:rPr>
      </w:pPr>
      <w:r>
        <w:rPr>
          <w:rFonts w:cs="Calibri"/>
          <w:color w:val="auto"/>
        </w:rPr>
        <w:t xml:space="preserve">El examen de la segunda convocatoria ordinaria incluirá solo aquellos contenidos que no se hayan conseguido superar en la primera. </w:t>
      </w:r>
    </w:p>
    <w:p>
      <w:pPr>
        <w:pStyle w:val="Normal"/>
        <w:rPr>
          <w:color w:val="auto"/>
        </w:rPr>
      </w:pPr>
      <w:r>
        <w:rPr>
          <w:rFonts w:cs="Calibri"/>
          <w:color w:val="auto"/>
        </w:rPr>
        <w:tab/>
        <w:t>La segunda convocatoria ordinaria se realizará en el mes de Junio.</w:t>
      </w:r>
    </w:p>
    <w:p>
      <w:pPr>
        <w:pStyle w:val="Normal"/>
        <w:ind w:hanging="0"/>
        <w:rPr>
          <w:rFonts w:cs="Calibri"/>
          <w:color w:val="000000" w:themeColor="text1"/>
        </w:rPr>
      </w:pPr>
      <w:r>
        <w:rPr>
          <w:rFonts w:cs="Calibri"/>
          <w:color w:val="000000" w:themeColor="text1"/>
        </w:rPr>
      </w:r>
    </w:p>
    <w:p>
      <w:pPr>
        <w:pStyle w:val="Normal"/>
        <w:rPr>
          <w:rFonts w:cs="Calibri"/>
          <w:color w:val="000000" w:themeColor="text1"/>
        </w:rPr>
      </w:pPr>
      <w:r>
        <w:rPr>
          <w:b/>
          <w:color w:val="000000" w:themeColor="text1"/>
          <w:sz w:val="26"/>
          <w:szCs w:val="26"/>
        </w:rPr>
        <w:t>Planificación de las actividades de recuperación de los módulos no superados</w:t>
      </w:r>
    </w:p>
    <w:p>
      <w:pPr>
        <w:pStyle w:val="Normal"/>
        <w:rPr>
          <w:rFonts w:cs="Calibri"/>
          <w:color w:val="548DD4"/>
        </w:rPr>
      </w:pPr>
      <w:r>
        <w:rPr>
          <w:rFonts w:cs="Calibri"/>
          <w:color w:val="548DD4"/>
        </w:rPr>
        <w:tab/>
      </w:r>
      <w:r>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pPr>
        <w:pStyle w:val="Normal"/>
        <w:rPr/>
      </w:pPr>
      <w:r>
        <w:rPr>
          <w:rFonts w:cs="Calibri"/>
          <w:color w:val="auto"/>
        </w:rPr>
        <w:tab/>
        <w:t xml:space="preserve">Se realizará una prueba final por cada una de las convocatorias ordinarias, esta prueba supondrá el </w:t>
      </w:r>
      <w:r>
        <w:rPr>
          <w:rFonts w:cs="Calibri"/>
          <w:color w:val="auto"/>
        </w:rPr>
        <w:t>60</w:t>
      </w:r>
      <w:r>
        <w:rPr>
          <w:rFonts w:cs="Calibri"/>
          <w:color w:val="auto"/>
        </w:rPr>
        <w:t xml:space="preserve">% de la calificación </w:t>
      </w:r>
      <w:r>
        <w:rPr>
          <w:rFonts w:cs="Calibri"/>
          <w:color w:val="auto"/>
        </w:rPr>
        <w:t xml:space="preserve">y las tareas, aunque se entreguen en el plazo extraordinario supondrán el otro 40% de la calificación. </w:t>
      </w:r>
      <w:r>
        <w:rPr>
          <w:rFonts w:cs="Calibri"/>
          <w:color w:val="auto"/>
        </w:rPr>
        <w:t>El alumno deberá obtener una calificación final igual o superior a 5 sobre 10 para superar el módulo.</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662" w:type="dxa"/>
      <w:jc w:val="left"/>
      <w:tblInd w:w="103" w:type="dxa"/>
      <w:tblLayout w:type="fixed"/>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jc w:val="center"/>
            <w:rPr>
              <w:rFonts w:ascii="Calibri" w:hAnsi="Calibri" w:cs="Calibri"/>
            </w:rPr>
          </w:pPr>
          <w:r>
            <w:rPr>
              <w:rFonts w:cs="Calibri" w:ascii="Calibri" w:hAnsi="Calibri"/>
            </w:rPr>
            <w:t>IES ARCIPRESTE DE HITA. DEPARTAMENTO DE INFORMÁTICA</w:t>
          </w:r>
        </w:p>
        <w:p>
          <w:pPr>
            <w:pStyle w:val="Encabezamiento"/>
            <w:widowControl w:val="false"/>
            <w:jc w:val="center"/>
            <w:rPr>
              <w:rFonts w:ascii="Calibri" w:hAnsi="Calibri" w:cs="Calibri"/>
              <w:color w:val="FF0000"/>
            </w:rPr>
          </w:pPr>
          <w:r>
            <w:rPr>
              <w:rFonts w:cs="Calibri" w:ascii="Calibri" w:hAnsi="Calibri"/>
            </w:rPr>
            <w:t>Programación didáctica de</w:t>
          </w:r>
          <w:r>
            <w:rPr>
              <w:rFonts w:cs="Calibri" w:ascii="Calibri" w:hAnsi="Calibri"/>
            </w:rPr>
            <w:t>l módulo: Hacking Ético</w:t>
          </w:r>
        </w:p>
        <w:p>
          <w:pPr>
            <w:pStyle w:val="Encabezamiento"/>
            <w:widowControl w:val="false"/>
            <w:jc w:val="center"/>
            <w:rPr>
              <w:color w:val="auto"/>
            </w:rPr>
          </w:pPr>
          <w:r>
            <w:rPr>
              <w:rFonts w:cs="Calibri" w:ascii="Calibri" w:hAnsi="Calibri"/>
              <w:color w:val="auto"/>
            </w:rPr>
            <w:t>C</w:t>
          </w:r>
          <w:r>
            <w:rPr>
              <w:rFonts w:cs="Calibri" w:ascii="Calibri" w:hAnsi="Calibri"/>
              <w:i/>
              <w:color w:val="auto"/>
            </w:rPr>
            <w:t>urso de especialización: Ciberseguridad en Entornos de las Tecnologías de la información</w:t>
          </w:r>
        </w:p>
        <w:p>
          <w:pPr>
            <w:pStyle w:val="Encabezamiento"/>
            <w:widowControl w:val="false"/>
            <w:jc w:val="center"/>
            <w:rPr>
              <w:highlight w:val="none"/>
              <w:shd w:fill="auto" w:val="clear"/>
            </w:rPr>
          </w:pPr>
          <w:r>
            <w:rPr>
              <w:rFonts w:cs="Calibri" w:ascii="Calibri" w:hAnsi="Calibri"/>
              <w:shd w:fill="auto" w:val="clear"/>
            </w:rPr>
            <w:t>Curso 2023/2024</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rPr>
        <w:rFonts w:cs="Times New Roman"/>
      </w:rPr>
    </w:lvl>
    <w:lvl w:ilvl="1">
      <w:start w:val="1"/>
      <w:pStyle w:val="Ttulo2"/>
      <w:numFmt w:val="decimal"/>
      <w:lvlText w:val="%1.%2"/>
      <w:lvlJc w:val="left"/>
      <w:pPr>
        <w:tabs>
          <w:tab w:val="num" w:pos="0"/>
        </w:tabs>
        <w:ind w:left="576" w:hanging="576"/>
      </w:pPr>
      <w:rPr>
        <w:rFonts w:cs="Times New Roman"/>
      </w:rPr>
    </w:lvl>
    <w:lvl w:ilvl="2">
      <w:start w:val="1"/>
      <w:pStyle w:val="Ttulo3"/>
      <w:numFmt w:val="decimal"/>
      <w:lvlText w:val="%1.%2.%3"/>
      <w:lvlJc w:val="left"/>
      <w:pPr>
        <w:tabs>
          <w:tab w:val="num" w:pos="0"/>
        </w:tabs>
        <w:ind w:left="720" w:hanging="720"/>
      </w:pPr>
      <w:rPr>
        <w:rFonts w:cs="Times New Roman"/>
      </w:rPr>
    </w:lvl>
    <w:lvl w:ilvl="3">
      <w:start w:val="1"/>
      <w:pStyle w:val="Ttulo4"/>
      <w:numFmt w:val="decimal"/>
      <w:lvlText w:val="%1.%2.%3.%4"/>
      <w:lvlJc w:val="left"/>
      <w:pPr>
        <w:tabs>
          <w:tab w:val="num" w:pos="0"/>
        </w:tabs>
        <w:ind w:left="864" w:hanging="864"/>
      </w:pPr>
      <w:rPr>
        <w:rFonts w:cs="Times New Roman"/>
      </w:rPr>
    </w:lvl>
    <w:lvl w:ilvl="4">
      <w:start w:val="1"/>
      <w:pStyle w:val="Ttulo5"/>
      <w:numFmt w:val="decimal"/>
      <w:lvlText w:val="%1.%2.%3.%4.%5"/>
      <w:lvlJc w:val="left"/>
      <w:pPr>
        <w:tabs>
          <w:tab w:val="num" w:pos="0"/>
        </w:tabs>
        <w:ind w:left="1008" w:hanging="1008"/>
      </w:pPr>
      <w:rPr>
        <w:rFonts w:cs="Times New Roman"/>
      </w:rPr>
    </w:lvl>
    <w:lvl w:ilvl="5">
      <w:start w:val="1"/>
      <w:pStyle w:val="Ttulo6"/>
      <w:numFmt w:val="decimal"/>
      <w:lvlText w:val="%1.%2.%3.%4.%5.%6"/>
      <w:lvlJc w:val="left"/>
      <w:pPr>
        <w:tabs>
          <w:tab w:val="num" w:pos="0"/>
        </w:tabs>
        <w:ind w:left="1152" w:hanging="1152"/>
      </w:pPr>
      <w:rPr>
        <w:rFonts w:cs="Times New Roman"/>
      </w:rPr>
    </w:lvl>
    <w:lvl w:ilvl="6">
      <w:start w:val="1"/>
      <w:pStyle w:val="Ttulo7"/>
      <w:numFmt w:val="decimal"/>
      <w:lvlText w:val="%1.%2.%3.%4.%5.%6.%7"/>
      <w:lvlJc w:val="left"/>
      <w:pPr>
        <w:tabs>
          <w:tab w:val="num" w:pos="0"/>
        </w:tabs>
        <w:ind w:left="1296" w:hanging="1296"/>
      </w:pPr>
      <w:rPr>
        <w:rFonts w:cs="Times New Roman"/>
      </w:rPr>
    </w:lvl>
    <w:lvl w:ilvl="7">
      <w:start w:val="1"/>
      <w:pStyle w:val="Ttulo8"/>
      <w:numFmt w:val="decimal"/>
      <w:lvlText w:val="%1.%2.%3.%4.%5.%6.%7.%8"/>
      <w:lvlJc w:val="left"/>
      <w:pPr>
        <w:tabs>
          <w:tab w:val="num" w:pos="0"/>
        </w:tabs>
        <w:ind w:left="1440" w:hanging="1440"/>
      </w:pPr>
      <w:rPr>
        <w:rFonts w:cs="Times New Roman"/>
      </w:rPr>
    </w:lvl>
    <w:lvl w:ilvl="8">
      <w:start w:val="1"/>
      <w:pStyle w:val="Ttulo9"/>
      <w:numFmt w:val="decimal"/>
      <w:lvlText w:val="%1.%2.%3.%4.%5.%6.%7.%8.%9"/>
      <w:lvlJc w:val="left"/>
      <w:pPr>
        <w:tabs>
          <w:tab w:val="num" w:pos="0"/>
        </w:tabs>
        <w:ind w:left="1584" w:hanging="1584"/>
      </w:pPr>
      <w:rPr>
        <w:rFonts w:cs="Times New Roman"/>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paragraph" w:styleId="Ttulo1">
    <w:name w:val="Heading 1"/>
    <w:basedOn w:val="Normal"/>
    <w:next w:val="Normal"/>
    <w:link w:val="Ttulo1Car1"/>
    <w:qFormat/>
    <w:locked/>
    <w:rsid w:val="00502ba9"/>
    <w:pPr>
      <w:keepNext w:val="true"/>
      <w:numPr>
        <w:ilvl w:val="0"/>
        <w:numId w:val="1"/>
      </w:numPr>
      <w:suppressAutoHyphens w:val="false"/>
      <w:spacing w:before="240" w:after="60"/>
      <w:outlineLvl w:val="0"/>
    </w:pPr>
    <w:rPr>
      <w:rFonts w:ascii="Arial" w:hAnsi="Arial" w:cs="Arial"/>
      <w:b/>
      <w:bCs/>
      <w:color w:val="auto"/>
      <w:kern w:val="2"/>
      <w:sz w:val="32"/>
      <w:szCs w:val="32"/>
    </w:rPr>
  </w:style>
  <w:style w:type="paragraph" w:styleId="Ttulo2">
    <w:name w:val="Heading 2"/>
    <w:basedOn w:val="Normal"/>
    <w:next w:val="Normal"/>
    <w:link w:val="Ttulo2Car1"/>
    <w:qFormat/>
    <w:locked/>
    <w:rsid w:val="00502ba9"/>
    <w:pPr>
      <w:keepNext w:val="true"/>
      <w:numPr>
        <w:ilvl w:val="1"/>
        <w:numId w:val="1"/>
      </w:numPr>
      <w:suppressAutoHyphens w:val="false"/>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val="true"/>
      <w:numPr>
        <w:ilvl w:val="2"/>
        <w:numId w:val="1"/>
      </w:numPr>
      <w:suppressAutoHyphens w:val="false"/>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val="true"/>
      <w:numPr>
        <w:ilvl w:val="3"/>
        <w:numId w:val="1"/>
      </w:numPr>
      <w:suppressAutoHyphens w:val="false"/>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1"/>
      </w:numPr>
      <w:suppressAutoHyphens w:val="false"/>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1"/>
      </w:numPr>
      <w:suppressAutoHyphens w:val="false"/>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1"/>
      </w:numPr>
      <w:suppressAutoHyphens w:val="false"/>
      <w:spacing w:before="240" w:after="60"/>
      <w:outlineLvl w:val="6"/>
    </w:pPr>
    <w:rPr>
      <w:color w:val="auto"/>
    </w:rPr>
  </w:style>
  <w:style w:type="paragraph" w:styleId="Ttulo8">
    <w:name w:val="Heading 8"/>
    <w:basedOn w:val="Normal"/>
    <w:next w:val="Normal"/>
    <w:link w:val="Ttulo8Car1"/>
    <w:qFormat/>
    <w:locked/>
    <w:rsid w:val="00502ba9"/>
    <w:pPr>
      <w:numPr>
        <w:ilvl w:val="7"/>
        <w:numId w:val="1"/>
      </w:numPr>
      <w:suppressAutoHyphens w:val="false"/>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1"/>
      </w:numPr>
      <w:suppressAutoHyphens w:val="false"/>
      <w:spacing w:before="240" w:after="60"/>
      <w:outlineLvl w:val="8"/>
    </w:pPr>
    <w:rPr>
      <w:rFonts w:ascii="Cambria" w:hAnsi="Cambria"/>
      <w:color w:val="auto"/>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qFormat/>
    <w:rsid w:val="001506e8"/>
    <w:rPr>
      <w:rFonts w:ascii="Cambria" w:hAnsi="Cambria"/>
      <w:b/>
      <w:bCs/>
      <w:sz w:val="32"/>
      <w:szCs w:val="32"/>
    </w:rPr>
  </w:style>
  <w:style w:type="character" w:styleId="Ttulo2Car" w:customStyle="1">
    <w:name w:val="Título 2 Car"/>
    <w:basedOn w:val="DefaultParagraphFont"/>
    <w:link w:val="Encabezado2"/>
    <w:uiPriority w:val="9"/>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uiPriority w:val="99"/>
    <w:qFormat/>
    <w:locked/>
    <w:rsid w:val="002f410b"/>
    <w:rPr>
      <w:sz w:val="24"/>
      <w:lang w:val="es-ES" w:eastAsia="es-ES"/>
    </w:rPr>
  </w:style>
  <w:style w:type="character" w:styleId="PiedepginaCar" w:customStyle="1">
    <w:name w:val="Pie de página Car"/>
    <w:basedOn w:val="DefaultParagraphFont"/>
    <w:uiPriority w:val="99"/>
    <w:semiHidden/>
    <w:qFormat/>
    <w:rsid w:val="001506e8"/>
    <w:rPr>
      <w:rFonts w:ascii="Calibri" w:hAnsi="Calibri"/>
      <w:sz w:val="24"/>
      <w:szCs w:val="24"/>
    </w:rPr>
  </w:style>
  <w:style w:type="character" w:styleId="EnlacedeInternet">
    <w:name w:val="Hyperlink"/>
    <w:basedOn w:val="DefaultParagraphFont"/>
    <w:uiPriority w:val="99"/>
    <w:locked/>
    <w:rsid w:val="00502ba9"/>
    <w:rPr>
      <w:rFonts w:cs="Times New Roman"/>
      <w:color w:val="0000FF"/>
      <w:u w:val="single"/>
    </w:rPr>
  </w:style>
  <w:style w:type="character" w:styleId="SubttuloCar" w:customStyle="1">
    <w:name w:val="Subtítulo Car"/>
    <w:basedOn w:val="DefaultParagraphFont"/>
    <w:uiPriority w:val="99"/>
    <w:qFormat/>
    <w:locked/>
    <w:rsid w:val="00d9538b"/>
    <w:rPr>
      <w:rFonts w:ascii="Cambria" w:hAnsi="Cambria"/>
      <w:sz w:val="24"/>
    </w:rPr>
  </w:style>
  <w:style w:type="character" w:styleId="TtuloCar" w:customStyle="1">
    <w:name w:val="Título Car"/>
    <w:basedOn w:val="DefaultParagraphFont"/>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BalloonText"/>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Ttulo1Car1" w:customStyle="1">
    <w:name w:val="Título 1 Car1"/>
    <w:basedOn w:val="DefaultParagraphFont"/>
    <w:qFormat/>
    <w:rsid w:val="00502ba9"/>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1" w:customStyle="1">
    <w:name w:val="Título 2 Car1"/>
    <w:basedOn w:val="DefaultParagraphFont"/>
    <w:qFormat/>
    <w:rsid w:val="00502ba9"/>
    <w:rPr>
      <w:rFonts w:ascii="Cambria" w:hAnsi="Cambria" w:eastAsia="" w:cs="" w:asciiTheme="majorHAnsi" w:cstheme="majorBidi" w:eastAsiaTheme="majorEastAsia" w:hAnsiTheme="majorHAnsi"/>
      <w:b/>
      <w:bCs/>
      <w:color w:val="4F81BD" w:themeColor="accent1"/>
      <w:sz w:val="26"/>
      <w:szCs w:val="26"/>
    </w:rPr>
  </w:style>
  <w:style w:type="character" w:styleId="Ttulo3Car1" w:customStyle="1">
    <w:name w:val="Título 3 Car1"/>
    <w:basedOn w:val="DefaultParagraphFont"/>
    <w:qFormat/>
    <w:rsid w:val="00502ba9"/>
    <w:rPr>
      <w:rFonts w:ascii="Cambria" w:hAnsi="Cambria" w:eastAsia="" w:cs="" w:asciiTheme="majorHAnsi" w:cstheme="majorBidi" w:eastAsiaTheme="majorEastAsia" w:hAnsiTheme="majorHAnsi"/>
      <w:b/>
      <w:bCs/>
      <w:color w:val="4F81BD" w:themeColor="accent1"/>
      <w:sz w:val="24"/>
      <w:szCs w:val="24"/>
    </w:rPr>
  </w:style>
  <w:style w:type="character" w:styleId="Ttulo4Car1" w:customStyle="1">
    <w:name w:val="Título 4 Car1"/>
    <w:basedOn w:val="DefaultParagraphFont"/>
    <w:qFormat/>
    <w:rsid w:val="00502ba9"/>
    <w:rPr>
      <w:rFonts w:ascii="Cambria" w:hAnsi="Cambria" w:eastAsia="" w:cs="" w:asciiTheme="majorHAnsi" w:cstheme="majorBidi" w:eastAsiaTheme="majorEastAsia" w:hAnsiTheme="majorHAnsi"/>
      <w:b/>
      <w:bCs/>
      <w:i/>
      <w:iCs/>
      <w:color w:val="4F81BD" w:themeColor="accent1"/>
      <w:sz w:val="24"/>
      <w:szCs w:val="24"/>
    </w:rPr>
  </w:style>
  <w:style w:type="character" w:styleId="Ttulo5Car1" w:customStyle="1">
    <w:name w:val="Título 5 Car1"/>
    <w:basedOn w:val="DefaultParagraphFont"/>
    <w:qFormat/>
    <w:rsid w:val="00502ba9"/>
    <w:rPr>
      <w:rFonts w:ascii="Cambria" w:hAnsi="Cambria" w:eastAsia="" w:cs="" w:asciiTheme="majorHAnsi" w:cstheme="majorBidi" w:eastAsiaTheme="majorEastAsia" w:hAnsiTheme="majorHAnsi"/>
      <w:color w:val="243F60" w:themeColor="accent1" w:themeShade="7f"/>
      <w:sz w:val="24"/>
      <w:szCs w:val="24"/>
    </w:rPr>
  </w:style>
  <w:style w:type="character" w:styleId="Ttulo6Car1" w:customStyle="1">
    <w:name w:val="Título 6 Car1"/>
    <w:basedOn w:val="DefaultParagraphFont"/>
    <w:qFormat/>
    <w:rsid w:val="00502ba9"/>
    <w:rPr>
      <w:rFonts w:ascii="Cambria" w:hAnsi="Cambria" w:eastAsia="" w:cs="" w:asciiTheme="majorHAnsi" w:cstheme="majorBidi" w:eastAsiaTheme="majorEastAsia" w:hAnsiTheme="majorHAnsi"/>
      <w:i/>
      <w:iCs/>
      <w:color w:val="243F60" w:themeColor="accent1" w:themeShade="7f"/>
      <w:sz w:val="24"/>
      <w:szCs w:val="24"/>
    </w:rPr>
  </w:style>
  <w:style w:type="character" w:styleId="Ttulo7Car1" w:customStyle="1">
    <w:name w:val="Título 7 Car1"/>
    <w:basedOn w:val="DefaultParagraphFont"/>
    <w:qFormat/>
    <w:rsid w:val="00502ba9"/>
    <w:rPr>
      <w:rFonts w:ascii="Cambria" w:hAnsi="Cambria" w:eastAsia="" w:cs="" w:asciiTheme="majorHAnsi" w:cstheme="majorBidi" w:eastAsiaTheme="majorEastAsia" w:hAnsiTheme="majorHAnsi"/>
      <w:i/>
      <w:iCs/>
      <w:color w:val="404040" w:themeColor="text1" w:themeTint="bf"/>
      <w:sz w:val="24"/>
      <w:szCs w:val="24"/>
    </w:rPr>
  </w:style>
  <w:style w:type="character" w:styleId="Ttulo8Car1" w:customStyle="1">
    <w:name w:val="Título 8 Car1"/>
    <w:basedOn w:val="DefaultParagraphFont"/>
    <w:qFormat/>
    <w:rsid w:val="00502ba9"/>
    <w:rPr>
      <w:rFonts w:ascii="Cambria" w:hAnsi="Cambria" w:eastAsia="" w:cs="" w:asciiTheme="majorHAnsi" w:cstheme="majorBidi" w:eastAsiaTheme="majorEastAsia" w:hAnsiTheme="majorHAnsi"/>
      <w:color w:val="404040" w:themeColor="text1" w:themeTint="bf"/>
      <w:sz w:val="20"/>
      <w:szCs w:val="20"/>
    </w:rPr>
  </w:style>
  <w:style w:type="character" w:styleId="Ttulo9Car1" w:customStyle="1">
    <w:name w:val="Título 9 Car1"/>
    <w:basedOn w:val="DefaultParagraphFont"/>
    <w:qFormat/>
    <w:rsid w:val="00502ba9"/>
    <w:rPr>
      <w:rFonts w:ascii="Cambria" w:hAnsi="Cambria" w:eastAsia="" w:cs="" w:asciiTheme="majorHAnsi" w:cstheme="majorBidi" w:eastAsiaTheme="majorEastAsia" w:hAnsiTheme="majorHAnsi"/>
      <w:i/>
      <w:iCs/>
      <w:color w:val="404040" w:themeColor="text1" w:themeTint="bf"/>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Sumario4">
    <w:name w:val="TOC 4"/>
    <w:basedOn w:val="Ndice"/>
    <w:pPr/>
    <w:rPr/>
  </w:style>
  <w:style w:type="paragraph" w:styleId="Sumario5">
    <w:name w:val="TOC 5"/>
    <w:basedOn w:val="Ndice"/>
    <w:pPr/>
    <w:rPr/>
  </w:style>
  <w:style w:type="paragraph" w:styleId="Sumario6">
    <w:name w:val="TOC 6"/>
    <w:basedOn w:val="Ndice"/>
    <w:pPr/>
    <w:rPr/>
  </w:style>
  <w:style w:type="paragraph" w:styleId="Sumario7">
    <w:name w:val="TOC 7"/>
    <w:basedOn w:val="Ndice"/>
    <w:pPr/>
    <w:rPr/>
  </w:style>
  <w:style w:type="paragraph" w:styleId="Sumario8">
    <w:name w:val="TOC 8"/>
    <w:basedOn w:val="Ndice"/>
    <w:pPr/>
    <w:rPr/>
  </w:style>
  <w:style w:type="paragraph" w:styleId="Sumario9">
    <w:name w:val="TOC 9"/>
    <w:basedOn w:val="Ndice"/>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LibreOffice/7.5.6.2$Windows_X86_64 LibreOffice_project/f654817fb68d6d4600d7d2f6b647e47729f55f15</Application>
  <AppVersion>15.0000</AppVersion>
  <Pages>7</Pages>
  <Words>1224</Words>
  <Characters>6748</Characters>
  <CharactersWithSpaces>7960</CharactersWithSpaces>
  <Paragraphs>80</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2023-10-12T21:14:00Z</dcterms:created>
  <dc:creator>eva</dc:creator>
  <dc:description/>
  <dc:language>es-ES</dc:language>
  <cp:lastModifiedBy/>
  <dcterms:modified xsi:type="dcterms:W3CDTF">2023-10-27T18:29:15Z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