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9BD" w14:textId="77777777" w:rsidR="00C27B18" w:rsidRDefault="00C27B18">
      <w:pPr>
        <w:rPr>
          <w:b/>
        </w:rPr>
      </w:pPr>
    </w:p>
    <w:p w14:paraId="77379D61" w14:textId="77777777" w:rsidR="00C27B18" w:rsidRDefault="00C27B18">
      <w:pPr>
        <w:rPr>
          <w:b/>
        </w:rPr>
      </w:pPr>
    </w:p>
    <w:p w14:paraId="2B9D9B82" w14:textId="77777777"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14:paraId="58639B13" w14:textId="77777777" w:rsidR="00C27B18" w:rsidRDefault="00C27B18">
      <w:pPr>
        <w:jc w:val="right"/>
        <w:rPr>
          <w:b/>
        </w:rPr>
      </w:pPr>
    </w:p>
    <w:p w14:paraId="0041015F" w14:textId="77777777" w:rsidR="00C27B18" w:rsidRDefault="007324E3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C27B18">
        <w:rPr>
          <w:rFonts w:ascii="Cambria" w:hAnsi="Cambria"/>
          <w:b/>
          <w:sz w:val="48"/>
          <w:szCs w:val="48"/>
        </w:rPr>
        <w:t xml:space="preserve"> del módulo</w:t>
      </w:r>
      <w:r w:rsidR="00C27B18">
        <w:rPr>
          <w:b/>
          <w:sz w:val="48"/>
          <w:szCs w:val="48"/>
        </w:rPr>
        <w:t xml:space="preserve"> </w:t>
      </w:r>
    </w:p>
    <w:p w14:paraId="628A1F9A" w14:textId="150819CA" w:rsidR="00C27B18" w:rsidRDefault="00A96C64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INSTALACIÓN Y MANTENIMIENTO DE REDES PARA TRANSMISIÓN DE DATOS</w:t>
      </w:r>
    </w:p>
    <w:p w14:paraId="67EB31AE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44DDDF24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6520F9F5" w14:textId="69AA41D9" w:rsidR="00C27B18" w:rsidRDefault="00A96C64">
      <w:pPr>
        <w:jc w:val="center"/>
        <w:rPr>
          <w:rFonts w:ascii="Cambria" w:hAnsi="Cambria"/>
          <w:b/>
          <w:sz w:val="48"/>
          <w:szCs w:val="48"/>
        </w:rPr>
      </w:pPr>
      <w:r w:rsidRPr="002A5B5C">
        <w:rPr>
          <w:rFonts w:ascii="Cambria" w:hAnsi="Cambria"/>
          <w:b/>
          <w:sz w:val="48"/>
          <w:szCs w:val="48"/>
        </w:rPr>
        <w:t>FPB Informática y Comunicaciones</w:t>
      </w:r>
      <w:r w:rsidRPr="00A96C64">
        <w:rPr>
          <w:rFonts w:ascii="Cambria" w:hAnsi="Cambria"/>
          <w:b/>
          <w:sz w:val="48"/>
          <w:szCs w:val="48"/>
        </w:rPr>
        <w:t xml:space="preserve"> </w:t>
      </w:r>
      <w:r w:rsidR="004108EA">
        <w:rPr>
          <w:rFonts w:ascii="Cambria" w:hAnsi="Cambria"/>
          <w:b/>
          <w:sz w:val="48"/>
          <w:szCs w:val="48"/>
        </w:rPr>
        <w:t>Curso: 2021/2022</w:t>
      </w:r>
    </w:p>
    <w:p w14:paraId="3D221A39" w14:textId="77777777"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14:paraId="6054DDF6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32D41DBB" w14:textId="244B9735" w:rsidR="00C27B18" w:rsidRDefault="00606885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Yeray Lozano Mayor</w:t>
      </w:r>
    </w:p>
    <w:p w14:paraId="0E854FFA" w14:textId="77777777" w:rsidR="00A0328C" w:rsidRDefault="00C27B18" w:rsidP="00095899">
      <w:pPr>
        <w:jc w:val="center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  <w:r>
        <w:rPr>
          <w:b/>
          <w:sz w:val="48"/>
          <w:szCs w:val="48"/>
        </w:rPr>
        <w:br w:type="page"/>
      </w:r>
    </w:p>
    <w:p w14:paraId="2B59D069" w14:textId="77777777" w:rsidR="00996607" w:rsidRDefault="00996607" w:rsidP="00996607">
      <w:pPr>
        <w:jc w:val="center"/>
      </w:pPr>
      <w:r>
        <w:lastRenderedPageBreak/>
        <w:t>INDICE:</w:t>
      </w:r>
    </w:p>
    <w:p w14:paraId="2F9D1487" w14:textId="77777777" w:rsidR="00731E8C" w:rsidRDefault="00731E8C" w:rsidP="00996607">
      <w:pPr>
        <w:jc w:val="center"/>
      </w:pPr>
    </w:p>
    <w:p w14:paraId="2FDFFCFC" w14:textId="68DA0B71" w:rsidR="002750B6" w:rsidRDefault="00731E8C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5842657" w:history="1">
        <w:r w:rsidR="002750B6" w:rsidRPr="00AC4512">
          <w:rPr>
            <w:rStyle w:val="Hipervnculo"/>
            <w:noProof/>
          </w:rPr>
          <w:t xml:space="preserve">1. </w:t>
        </w:r>
        <w:r w:rsidR="002750B6" w:rsidRPr="00AC4512">
          <w:rPr>
            <w:rStyle w:val="Hipervnculo"/>
            <w:rFonts w:cs="Calibri"/>
            <w:noProof/>
          </w:rPr>
          <w:t>Criterios de evaluación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_Toc85842657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A96C64">
          <w:rPr>
            <w:noProof/>
            <w:webHidden/>
          </w:rPr>
          <w:t>2</w:t>
        </w:r>
        <w:r w:rsidR="002750B6">
          <w:rPr>
            <w:noProof/>
            <w:webHidden/>
          </w:rPr>
          <w:fldChar w:fldCharType="end"/>
        </w:r>
      </w:hyperlink>
    </w:p>
    <w:p w14:paraId="7681FA79" w14:textId="10BEC73D" w:rsidR="002750B6" w:rsidRDefault="00845A60" w:rsidP="002750B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42658" w:history="1">
        <w:r w:rsidR="002750B6" w:rsidRPr="00AC4512">
          <w:rPr>
            <w:rStyle w:val="Hipervnculo"/>
            <w:rFonts w:cs="Calibri"/>
            <w:noProof/>
          </w:rPr>
          <w:t>2.</w:t>
        </w:r>
        <w:r w:rsidR="002750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0B6" w:rsidRPr="00AC4512">
          <w:rPr>
            <w:rStyle w:val="Hipervnculo"/>
            <w:rFonts w:cs="Calibri"/>
            <w:noProof/>
          </w:rPr>
          <w:t>Criterios e Instrumentos de calificación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_Toc85842658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A96C64">
          <w:rPr>
            <w:noProof/>
            <w:webHidden/>
          </w:rPr>
          <w:t>6</w:t>
        </w:r>
        <w:r w:rsidR="002750B6">
          <w:rPr>
            <w:noProof/>
            <w:webHidden/>
          </w:rPr>
          <w:fldChar w:fldCharType="end"/>
        </w:r>
      </w:hyperlink>
    </w:p>
    <w:p w14:paraId="282ADA47" w14:textId="7372E04D" w:rsidR="00996607" w:rsidRDefault="00731E8C" w:rsidP="00996607">
      <w:r>
        <w:fldChar w:fldCharType="end"/>
      </w:r>
    </w:p>
    <w:p w14:paraId="4F79E21E" w14:textId="270A1F75" w:rsidR="00606885" w:rsidRDefault="00AE142D" w:rsidP="00606885">
      <w:pPr>
        <w:pStyle w:val="Encabezado2"/>
        <w:rPr>
          <w:rFonts w:ascii="Calibri" w:hAnsi="Calibri" w:cs="Calibri"/>
        </w:rPr>
      </w:pPr>
      <w:bookmarkStart w:id="0" w:name="_Toc527136534"/>
      <w:bookmarkStart w:id="1" w:name="_Toc527136921"/>
      <w:bookmarkStart w:id="2" w:name="_Toc85842657"/>
      <w:bookmarkStart w:id="3" w:name="_Hlk85842302"/>
      <w:r>
        <w:t xml:space="preserve">1. </w:t>
      </w:r>
      <w:bookmarkStart w:id="4" w:name="_Toc85841514"/>
      <w:bookmarkEnd w:id="0"/>
      <w:bookmarkEnd w:id="1"/>
      <w:r w:rsidR="00606885">
        <w:rPr>
          <w:rFonts w:ascii="Calibri" w:hAnsi="Calibri" w:cs="Calibri"/>
        </w:rPr>
        <w:t>Criterios de evaluación</w:t>
      </w:r>
      <w:bookmarkEnd w:id="2"/>
      <w:bookmarkEnd w:id="4"/>
    </w:p>
    <w:p w14:paraId="5DF034A3" w14:textId="77777777" w:rsidR="00A96C64" w:rsidRPr="00AB6706" w:rsidRDefault="00A96C64" w:rsidP="00A96C64">
      <w:pPr>
        <w:ind w:firstLine="576"/>
        <w:rPr>
          <w:rFonts w:cs="Calibri"/>
        </w:rPr>
      </w:pPr>
      <w:r w:rsidRPr="00AB6706">
        <w:rPr>
          <w:rFonts w:cs="Calibri"/>
        </w:rPr>
        <w:t>Teniendo en cuenta los Resultados de Aprendizaje, los Criterios de Evaluación son los siguientes:</w:t>
      </w:r>
    </w:p>
    <w:p w14:paraId="63202E80" w14:textId="77777777" w:rsidR="00A96C64" w:rsidRPr="006C0705" w:rsidRDefault="00A96C64" w:rsidP="00A96C64"/>
    <w:p w14:paraId="64A4C3CF" w14:textId="77777777" w:rsidR="00A96C64" w:rsidRPr="006C0705" w:rsidRDefault="00A96C64" w:rsidP="00A96C64">
      <w:pPr>
        <w:rPr>
          <w:b/>
          <w:bCs/>
        </w:rPr>
      </w:pPr>
      <w:r w:rsidRPr="006C0705">
        <w:rPr>
          <w:b/>
          <w:bCs/>
        </w:rPr>
        <w:t xml:space="preserve">RA1. Selecciona los elementos que configuran las redes para la transmisión de voz y datos, describiendo sus principales características y funcionalidad. </w:t>
      </w:r>
    </w:p>
    <w:p w14:paraId="1FF8B7D7" w14:textId="77777777" w:rsidR="00A96C64" w:rsidRPr="006C0705" w:rsidRDefault="00A96C64" w:rsidP="00A96C64">
      <w:pPr>
        <w:rPr>
          <w:b/>
          <w:bCs/>
          <w:i/>
          <w:iCs/>
          <w:u w:val="single"/>
        </w:rPr>
      </w:pPr>
      <w:r w:rsidRPr="006C0705">
        <w:rPr>
          <w:b/>
          <w:bCs/>
          <w:i/>
          <w:iCs/>
          <w:u w:val="single"/>
        </w:rPr>
        <w:t xml:space="preserve">Criterios de evaluación: </w:t>
      </w:r>
    </w:p>
    <w:p w14:paraId="23B16C34" w14:textId="77777777" w:rsidR="00A96C64" w:rsidRDefault="00A96C64" w:rsidP="00A96C64">
      <w:r w:rsidRPr="006C0705">
        <w:t xml:space="preserve">a) Se han identificado los tipos de instalaciones relacionados con las redes de transmisión de voz y datos. </w:t>
      </w:r>
    </w:p>
    <w:p w14:paraId="6890CA19" w14:textId="77777777" w:rsidR="00A96C64" w:rsidRDefault="00A96C64" w:rsidP="00A96C64">
      <w:r w:rsidRPr="006C0705">
        <w:t xml:space="preserve">b) Se han identificado los elementos (canalizaciones, cableados, antenas, armarios, «racks» y cajas, entre otros) de una red de transmisión de datos. </w:t>
      </w:r>
    </w:p>
    <w:p w14:paraId="15A61EAA" w14:textId="77777777" w:rsidR="00A96C64" w:rsidRDefault="00A96C64" w:rsidP="00A96C64">
      <w:r w:rsidRPr="006C0705">
        <w:t xml:space="preserve">c) Se han clasificado los tipos de conductores (par de cobre, cable coaxial, fibra óptica, entre otros). </w:t>
      </w:r>
    </w:p>
    <w:p w14:paraId="20F323B8" w14:textId="77777777" w:rsidR="00A96C64" w:rsidRDefault="00A96C64" w:rsidP="00A96C64">
      <w:r w:rsidRPr="006C0705">
        <w:t xml:space="preserve">d) Se ha determinado la tipología de las diferentes cajas (registros, armarios, «racks», cajas de superficie, de empotrar, entre otros). </w:t>
      </w:r>
    </w:p>
    <w:p w14:paraId="2AAE1A05" w14:textId="77777777" w:rsidR="00A96C64" w:rsidRDefault="00A96C64" w:rsidP="00A96C64">
      <w:r w:rsidRPr="006C0705">
        <w:t xml:space="preserve">e) Se han descrito los tipos de fijaciones (tacos, bridas, tornillos, tuercas, grapas, entre otros) de canalizaciones y sistemas. </w:t>
      </w:r>
    </w:p>
    <w:p w14:paraId="7428F2ED" w14:textId="50F56129" w:rsidR="00A96C64" w:rsidRDefault="00A96C64" w:rsidP="00A96C64">
      <w:r w:rsidRPr="006C0705">
        <w:t xml:space="preserve">f) Se han relacionado las fijaciones con el elemento a sujetar. </w:t>
      </w:r>
    </w:p>
    <w:p w14:paraId="709D3151" w14:textId="77777777" w:rsidR="00A96C64" w:rsidRDefault="00A96C64" w:rsidP="00A96C64"/>
    <w:p w14:paraId="61FC6861" w14:textId="77777777" w:rsidR="00A96C64" w:rsidRDefault="00A96C64" w:rsidP="00A96C64"/>
    <w:p w14:paraId="2B3D3BDD" w14:textId="77777777" w:rsidR="00A96C64" w:rsidRPr="006C0705" w:rsidRDefault="00A96C64" w:rsidP="00A96C64">
      <w:pPr>
        <w:rPr>
          <w:b/>
          <w:bCs/>
        </w:rPr>
      </w:pPr>
      <w:r w:rsidRPr="006C0705">
        <w:rPr>
          <w:b/>
          <w:bCs/>
        </w:rPr>
        <w:lastRenderedPageBreak/>
        <w:t xml:space="preserve">RA2. Monta canalizaciones, soportes y armarios en redes de transmisión de voz y datos, identificando los elementos en el plano de la instalación y aplicando técnicas de montaje. </w:t>
      </w:r>
    </w:p>
    <w:p w14:paraId="672E52F7" w14:textId="77777777" w:rsidR="00A96C64" w:rsidRPr="006C0705" w:rsidRDefault="00A96C64" w:rsidP="00A96C64">
      <w:pPr>
        <w:rPr>
          <w:b/>
          <w:bCs/>
          <w:i/>
          <w:iCs/>
          <w:u w:val="single"/>
        </w:rPr>
      </w:pPr>
      <w:r w:rsidRPr="006C0705">
        <w:rPr>
          <w:b/>
          <w:bCs/>
          <w:i/>
          <w:iCs/>
          <w:u w:val="single"/>
        </w:rPr>
        <w:t xml:space="preserve">Criterios de evaluación: </w:t>
      </w:r>
    </w:p>
    <w:p w14:paraId="7731CB15" w14:textId="77777777" w:rsidR="00A96C64" w:rsidRDefault="00A96C64" w:rsidP="00A96C64">
      <w:r w:rsidRPr="006C0705">
        <w:t xml:space="preserve">a) Se han seleccionado las técnicas y herramientas empleadas para la instalación de canalizaciones y su adaptación. </w:t>
      </w:r>
    </w:p>
    <w:p w14:paraId="4C48E069" w14:textId="77777777" w:rsidR="00A96C64" w:rsidRDefault="00A96C64" w:rsidP="00A96C64">
      <w:r w:rsidRPr="006C0705">
        <w:t xml:space="preserve">b) Se han tenido en cuenta las fases típicas para el montaje de un «rack». </w:t>
      </w:r>
    </w:p>
    <w:p w14:paraId="22D5F8AF" w14:textId="77777777" w:rsidR="00A96C64" w:rsidRDefault="00A96C64" w:rsidP="00A96C64">
      <w:r w:rsidRPr="006C0705">
        <w:t xml:space="preserve">c) Se han identificado en un croquis del edificio o parte del edificio los lugares de ubicación de los elementos de la instalación. </w:t>
      </w:r>
    </w:p>
    <w:p w14:paraId="05B21191" w14:textId="77777777" w:rsidR="00A96C64" w:rsidRDefault="00A96C64" w:rsidP="00A96C64">
      <w:r w:rsidRPr="006C0705">
        <w:t xml:space="preserve">d) Se ha preparado la ubicación de cajas y canalizaciones. </w:t>
      </w:r>
    </w:p>
    <w:p w14:paraId="1B589FCD" w14:textId="77777777" w:rsidR="00A96C64" w:rsidRDefault="00A96C64" w:rsidP="00A96C64">
      <w:r w:rsidRPr="006C0705">
        <w:t xml:space="preserve">e) Se han preparado y/o mecanizado las canalizaciones y cajas. </w:t>
      </w:r>
    </w:p>
    <w:p w14:paraId="31F730D3" w14:textId="77777777" w:rsidR="00A96C64" w:rsidRDefault="00A96C64" w:rsidP="00A96C64">
      <w:r w:rsidRPr="006C0705">
        <w:t xml:space="preserve">f) Se han montado los armarios («racks») interpretando el plano. </w:t>
      </w:r>
    </w:p>
    <w:p w14:paraId="7318CEB7" w14:textId="77777777" w:rsidR="00A96C64" w:rsidRDefault="00A96C64" w:rsidP="00A96C64">
      <w:r w:rsidRPr="006C0705">
        <w:t xml:space="preserve">g) Se han montado canalizaciones, cajas y tubos, entre otros, asegurando su fijación mecánica. </w:t>
      </w:r>
    </w:p>
    <w:p w14:paraId="19BF27F0" w14:textId="77777777" w:rsidR="00A96C64" w:rsidRDefault="00A96C64" w:rsidP="00A96C64">
      <w:r w:rsidRPr="006C0705">
        <w:t xml:space="preserve">h) Se han aplicado normas de seguridad en el uso de herramientas y sistemas. </w:t>
      </w:r>
    </w:p>
    <w:p w14:paraId="556BD390" w14:textId="77777777" w:rsidR="00A96C64" w:rsidRPr="006C0705" w:rsidRDefault="00A96C64" w:rsidP="00A96C64"/>
    <w:p w14:paraId="24A0300E" w14:textId="77777777" w:rsidR="00A96C64" w:rsidRPr="006C0705" w:rsidRDefault="00A96C64" w:rsidP="00A96C64">
      <w:pPr>
        <w:rPr>
          <w:b/>
          <w:bCs/>
        </w:rPr>
      </w:pPr>
      <w:r w:rsidRPr="006C0705">
        <w:rPr>
          <w:b/>
          <w:bCs/>
        </w:rPr>
        <w:t xml:space="preserve">RA3. Despliega el cableado de una red de voz y datos analizando su trazado. </w:t>
      </w:r>
    </w:p>
    <w:p w14:paraId="30603C6A" w14:textId="77777777" w:rsidR="00A96C64" w:rsidRPr="006C0705" w:rsidRDefault="00A96C64" w:rsidP="00A96C64">
      <w:pPr>
        <w:rPr>
          <w:b/>
          <w:bCs/>
          <w:i/>
          <w:iCs/>
          <w:u w:val="single"/>
        </w:rPr>
      </w:pPr>
      <w:r w:rsidRPr="006C0705">
        <w:rPr>
          <w:b/>
          <w:bCs/>
          <w:i/>
          <w:iCs/>
          <w:u w:val="single"/>
        </w:rPr>
        <w:t xml:space="preserve">Criterios de evaluación: </w:t>
      </w:r>
    </w:p>
    <w:p w14:paraId="76FA723D" w14:textId="77777777" w:rsidR="00A96C64" w:rsidRDefault="00A96C64" w:rsidP="00A96C64">
      <w:r w:rsidRPr="006C0705">
        <w:t xml:space="preserve">a) Se han diferenciado los medios de transmisión empleados para voz y datos. </w:t>
      </w:r>
    </w:p>
    <w:p w14:paraId="00FD9629" w14:textId="77777777" w:rsidR="00A96C64" w:rsidRDefault="00A96C64" w:rsidP="00A96C64">
      <w:r w:rsidRPr="006C0705">
        <w:t xml:space="preserve">b) Se han reconocido los detalles del cableado de la instalación y su despliegue (categoría del cableado, espacios por los que discurre, soporte para las canalizaciones, entre otros). </w:t>
      </w:r>
    </w:p>
    <w:p w14:paraId="1B764A16" w14:textId="77777777" w:rsidR="00A96C64" w:rsidRDefault="00A96C64" w:rsidP="00A96C64">
      <w:r w:rsidRPr="006C0705">
        <w:t xml:space="preserve">c) Se han utilizado los tipos de guías pasacables, indicando la forma óptima de sujetar cables y guía. </w:t>
      </w:r>
    </w:p>
    <w:p w14:paraId="2404E165" w14:textId="77777777" w:rsidR="00A96C64" w:rsidRDefault="00A96C64" w:rsidP="00A96C64">
      <w:r w:rsidRPr="006C0705">
        <w:t xml:space="preserve">d) Se ha cortado y etiquetado el cable. </w:t>
      </w:r>
    </w:p>
    <w:p w14:paraId="6A47B5E5" w14:textId="77777777" w:rsidR="00A96C64" w:rsidRDefault="00A96C64" w:rsidP="00A96C64">
      <w:r w:rsidRPr="006C0705">
        <w:t xml:space="preserve">e) Se han montado los armarios de comunicaciones y sus accesorios. </w:t>
      </w:r>
    </w:p>
    <w:p w14:paraId="5C19FE59" w14:textId="77777777" w:rsidR="00A96C64" w:rsidRDefault="00A96C64" w:rsidP="00A96C64">
      <w:r w:rsidRPr="006C0705">
        <w:t xml:space="preserve">f) Se han montado y conexionado las tomas de usuario y paneles de parcheo. </w:t>
      </w:r>
    </w:p>
    <w:p w14:paraId="6C3F90EB" w14:textId="77777777" w:rsidR="00A96C64" w:rsidRDefault="00A96C64" w:rsidP="00A96C64">
      <w:r w:rsidRPr="006C0705">
        <w:t xml:space="preserve">g) Se ha trabajado con la calidad y seguridad requeridas. </w:t>
      </w:r>
    </w:p>
    <w:p w14:paraId="5DA7797C" w14:textId="77777777" w:rsidR="00A96C64" w:rsidRDefault="00A96C64" w:rsidP="00A96C64">
      <w:pPr>
        <w:rPr>
          <w:b/>
          <w:bCs/>
        </w:rPr>
      </w:pPr>
      <w:r w:rsidRPr="006C0705">
        <w:rPr>
          <w:b/>
          <w:bCs/>
        </w:rPr>
        <w:lastRenderedPageBreak/>
        <w:t xml:space="preserve">RA4. Instala elementos y sistemas de transmisión de voz y datos, reconociendo y aplicando las diferentes técnicas de montaje. </w:t>
      </w:r>
    </w:p>
    <w:p w14:paraId="7CEC7C75" w14:textId="77777777" w:rsidR="00A96C64" w:rsidRPr="006C0705" w:rsidRDefault="00A96C64" w:rsidP="00A96C64">
      <w:pPr>
        <w:rPr>
          <w:i/>
          <w:iCs/>
          <w:u w:val="single"/>
        </w:rPr>
      </w:pPr>
      <w:r w:rsidRPr="006C0705">
        <w:rPr>
          <w:b/>
          <w:bCs/>
          <w:i/>
          <w:iCs/>
          <w:u w:val="single"/>
        </w:rPr>
        <w:t>Criterios de evaluación:</w:t>
      </w:r>
      <w:r w:rsidRPr="006C0705">
        <w:rPr>
          <w:i/>
          <w:iCs/>
          <w:u w:val="single"/>
        </w:rPr>
        <w:t xml:space="preserve"> </w:t>
      </w:r>
    </w:p>
    <w:p w14:paraId="176FA2B8" w14:textId="77777777" w:rsidR="00A96C64" w:rsidRDefault="00A96C64" w:rsidP="00A96C64">
      <w:r w:rsidRPr="006C0705">
        <w:t xml:space="preserve">a) Se han ensamblado los elementos que consten de varias piezas. </w:t>
      </w:r>
    </w:p>
    <w:p w14:paraId="30C23D65" w14:textId="77777777" w:rsidR="00A96C64" w:rsidRDefault="00A96C64" w:rsidP="00A96C64">
      <w:r w:rsidRPr="006C0705">
        <w:t xml:space="preserve">b) Se han identificado el cableado en función de su etiquetado o colores. </w:t>
      </w:r>
    </w:p>
    <w:p w14:paraId="26BA0949" w14:textId="77777777" w:rsidR="00A96C64" w:rsidRDefault="00A96C64" w:rsidP="00A96C64">
      <w:r w:rsidRPr="006C0705">
        <w:t xml:space="preserve">c) Se han colocado los sistemas o elementos (antenas, amplificadores, entre otros) en su lugar de ubicación. </w:t>
      </w:r>
    </w:p>
    <w:p w14:paraId="4A02F4D5" w14:textId="77777777" w:rsidR="00A96C64" w:rsidRDefault="00A96C64" w:rsidP="00A96C64">
      <w:r w:rsidRPr="006C0705">
        <w:t xml:space="preserve">d) Se han seleccionado herramientas. </w:t>
      </w:r>
    </w:p>
    <w:p w14:paraId="6E777BDF" w14:textId="77777777" w:rsidR="00A96C64" w:rsidRDefault="00A96C64" w:rsidP="00A96C64">
      <w:r w:rsidRPr="006C0705">
        <w:t xml:space="preserve">e) Se han fijado los sistemas o elementos. </w:t>
      </w:r>
    </w:p>
    <w:p w14:paraId="78D81ACF" w14:textId="77777777" w:rsidR="00A96C64" w:rsidRDefault="00A96C64" w:rsidP="00A96C64">
      <w:r w:rsidRPr="006C0705">
        <w:t xml:space="preserve">f) Se ha conectado el cableado con los sistemas y elementos, asegurando un buen contacto. </w:t>
      </w:r>
    </w:p>
    <w:p w14:paraId="158980B2" w14:textId="77777777" w:rsidR="00A96C64" w:rsidRDefault="00A96C64" w:rsidP="00A96C64">
      <w:r w:rsidRPr="006C0705">
        <w:t xml:space="preserve">g) Se han colocado los embellecedores, tapas y elementos decorativos. </w:t>
      </w:r>
    </w:p>
    <w:p w14:paraId="571AEC21" w14:textId="77777777" w:rsidR="00A96C64" w:rsidRDefault="00A96C64" w:rsidP="00A96C64">
      <w:r w:rsidRPr="006C0705">
        <w:t xml:space="preserve">h) Se han aplicado normas de seguridad, en el uso de herramientas y sistemas. </w:t>
      </w:r>
    </w:p>
    <w:p w14:paraId="3EE1820F" w14:textId="77777777" w:rsidR="00A96C64" w:rsidRDefault="00A96C64" w:rsidP="00A96C64"/>
    <w:p w14:paraId="6C474BA5" w14:textId="77777777" w:rsidR="00A96C64" w:rsidRPr="006C0705" w:rsidRDefault="00A96C64" w:rsidP="00A96C64">
      <w:pPr>
        <w:rPr>
          <w:b/>
          <w:bCs/>
        </w:rPr>
      </w:pPr>
      <w:r w:rsidRPr="006C0705">
        <w:rPr>
          <w:b/>
          <w:bCs/>
        </w:rPr>
        <w:t>RA5. Realiza operaciones básicas de configuración en redes locales cableadas relacionándolas con sus aplicaciones.</w:t>
      </w:r>
    </w:p>
    <w:p w14:paraId="062DDCC0" w14:textId="77777777" w:rsidR="00A96C64" w:rsidRPr="006C0705" w:rsidRDefault="00A96C64" w:rsidP="00A96C64">
      <w:pPr>
        <w:rPr>
          <w:b/>
          <w:bCs/>
          <w:i/>
          <w:iCs/>
          <w:u w:val="single"/>
        </w:rPr>
      </w:pPr>
      <w:r w:rsidRPr="006C0705">
        <w:rPr>
          <w:b/>
          <w:bCs/>
        </w:rPr>
        <w:t xml:space="preserve"> </w:t>
      </w:r>
      <w:r w:rsidRPr="006C0705">
        <w:rPr>
          <w:b/>
          <w:bCs/>
          <w:i/>
          <w:iCs/>
          <w:u w:val="single"/>
        </w:rPr>
        <w:t xml:space="preserve">Criterios de evaluación: </w:t>
      </w:r>
    </w:p>
    <w:p w14:paraId="287A6321" w14:textId="77777777" w:rsidR="00A96C64" w:rsidRDefault="00A96C64" w:rsidP="00A96C64">
      <w:r w:rsidRPr="006C0705">
        <w:t xml:space="preserve">a) Se han descrito los principios de funcionamiento de las redes locales. </w:t>
      </w:r>
    </w:p>
    <w:p w14:paraId="7A39B75C" w14:textId="77777777" w:rsidR="00A96C64" w:rsidRDefault="00A96C64" w:rsidP="00A96C64">
      <w:r w:rsidRPr="006C0705">
        <w:t xml:space="preserve">b) Se han identificado los distintos tipos de redes y sus estructuras alternativas. </w:t>
      </w:r>
    </w:p>
    <w:p w14:paraId="133C447A" w14:textId="77777777" w:rsidR="00A96C64" w:rsidRDefault="00A96C64" w:rsidP="00A96C64">
      <w:r w:rsidRPr="006C0705">
        <w:t xml:space="preserve">c) Se han reconocido los elementos de la red local identificándolos con su función. </w:t>
      </w:r>
    </w:p>
    <w:p w14:paraId="0A1BC022" w14:textId="77777777" w:rsidR="00A96C64" w:rsidRDefault="00A96C64" w:rsidP="00A96C64">
      <w:r w:rsidRPr="006C0705">
        <w:t xml:space="preserve">d) Se han descrito los medios de transmisión. </w:t>
      </w:r>
    </w:p>
    <w:p w14:paraId="65A69A96" w14:textId="77777777" w:rsidR="00A96C64" w:rsidRDefault="00A96C64" w:rsidP="00A96C64">
      <w:r w:rsidRPr="006C0705">
        <w:t xml:space="preserve">e) Se ha interpretado el mapa físico de la red local. </w:t>
      </w:r>
    </w:p>
    <w:p w14:paraId="43855C36" w14:textId="77777777" w:rsidR="00A96C64" w:rsidRDefault="00A96C64" w:rsidP="00A96C64">
      <w:r w:rsidRPr="006C0705">
        <w:t xml:space="preserve">f) Se ha representado el mapa físico de la red local. </w:t>
      </w:r>
    </w:p>
    <w:p w14:paraId="6E2F56C9" w14:textId="77777777" w:rsidR="00A96C64" w:rsidRDefault="00A96C64" w:rsidP="00A96C64">
      <w:r w:rsidRPr="006C0705">
        <w:t xml:space="preserve">g) Se han utilizado aplicaciones informáticas para representar el mapa físico de la red local. </w:t>
      </w:r>
    </w:p>
    <w:p w14:paraId="29214EB0" w14:textId="77777777" w:rsidR="00A96C64" w:rsidRDefault="00A96C64" w:rsidP="00A96C64"/>
    <w:p w14:paraId="7DD47E8A" w14:textId="77777777" w:rsidR="00A96C64" w:rsidRDefault="00A96C64" w:rsidP="00A96C64"/>
    <w:p w14:paraId="5C0774B5" w14:textId="77777777" w:rsidR="00A96C64" w:rsidRDefault="00A96C64" w:rsidP="00A96C64">
      <w:pPr>
        <w:rPr>
          <w:b/>
          <w:bCs/>
        </w:rPr>
      </w:pPr>
      <w:r w:rsidRPr="006C0705">
        <w:rPr>
          <w:b/>
          <w:bCs/>
        </w:rPr>
        <w:lastRenderedPageBreak/>
        <w:t xml:space="preserve">RA6. Cumple las normas de prevención de riesgos laborales y de protección ambiental, identificando los riesgos asociados, las medidas y sistemas para prevenirlos. </w:t>
      </w:r>
    </w:p>
    <w:p w14:paraId="25153845" w14:textId="77777777" w:rsidR="00A96C64" w:rsidRPr="006C0705" w:rsidRDefault="00A96C64" w:rsidP="00A96C64">
      <w:pPr>
        <w:rPr>
          <w:i/>
          <w:iCs/>
          <w:u w:val="single"/>
        </w:rPr>
      </w:pPr>
      <w:r w:rsidRPr="006C0705">
        <w:rPr>
          <w:b/>
          <w:bCs/>
          <w:i/>
          <w:iCs/>
          <w:u w:val="single"/>
        </w:rPr>
        <w:t>Criterios de evaluación:</w:t>
      </w:r>
      <w:r w:rsidRPr="006C0705">
        <w:rPr>
          <w:i/>
          <w:iCs/>
          <w:u w:val="single"/>
        </w:rPr>
        <w:t xml:space="preserve"> </w:t>
      </w:r>
    </w:p>
    <w:p w14:paraId="3A1C73DA" w14:textId="77777777" w:rsidR="00A96C64" w:rsidRDefault="00A96C64" w:rsidP="00A96C64">
      <w:r w:rsidRPr="006C0705">
        <w:t xml:space="preserve">a) Se han identificado los riesgos y el nivel de peligrosidad que suponen la manipulación de los materiales, herramientas, útiles, máquinas y medios de transporte. </w:t>
      </w:r>
    </w:p>
    <w:p w14:paraId="7095424B" w14:textId="77777777" w:rsidR="00A96C64" w:rsidRDefault="00A96C64" w:rsidP="00A96C64">
      <w:r w:rsidRPr="006C0705">
        <w:t>b) Se han operado las máquinas respetando las normas de seguridad</w:t>
      </w:r>
      <w:r>
        <w:t>.</w:t>
      </w:r>
    </w:p>
    <w:p w14:paraId="291D17C1" w14:textId="77777777" w:rsidR="00A96C64" w:rsidRDefault="00A96C64" w:rsidP="00A96C64">
      <w:r w:rsidRPr="006C0705">
        <w:t xml:space="preserve">c) Se han identificado las causas más frecuentes de accidentes en la manipulación de materiales, herramientas, máquinas de corte y conformado, entre otras. </w:t>
      </w:r>
    </w:p>
    <w:p w14:paraId="5C251F27" w14:textId="77777777" w:rsidR="00A96C64" w:rsidRDefault="00A96C64" w:rsidP="00A96C64">
      <w:r w:rsidRPr="006C0705">
        <w:t xml:space="preserve">d) Se han descrito los elementos de seguridad (protecciones, alarmas, pasos de emergencia, entre otros) de las máquinas y los sistemas de protección individual (calzado, protección ocular, indumentaria, entre otros) que se deben emplear en las operaciones de montaje y mantenimiento. </w:t>
      </w:r>
    </w:p>
    <w:p w14:paraId="1729056B" w14:textId="77777777" w:rsidR="00A96C64" w:rsidRDefault="00A96C64" w:rsidP="00A96C64">
      <w:r w:rsidRPr="006C0705">
        <w:t xml:space="preserve">e) Se ha relacionado la manipulación de materiales, herramientas y máquinas con las medidas de seguridad y protección personal requeridos. </w:t>
      </w:r>
    </w:p>
    <w:p w14:paraId="1BC1A314" w14:textId="77777777" w:rsidR="00A96C64" w:rsidRDefault="00A96C64" w:rsidP="00A96C64">
      <w:r w:rsidRPr="006C0705">
        <w:t xml:space="preserve">f) Se han identificado las posibles fuentes de contaminación del entorno ambiental. </w:t>
      </w:r>
    </w:p>
    <w:p w14:paraId="6E99FB7F" w14:textId="77777777" w:rsidR="00A96C64" w:rsidRDefault="00A96C64" w:rsidP="00A96C64">
      <w:r w:rsidRPr="006C0705">
        <w:t xml:space="preserve">g) Se han clasificado los residuos generados para su retirada selectiva. </w:t>
      </w:r>
    </w:p>
    <w:p w14:paraId="4A65A019" w14:textId="336AC0C2" w:rsidR="00A96C64" w:rsidRDefault="00A96C64" w:rsidP="00A96C64">
      <w:r w:rsidRPr="006C0705">
        <w:t>h) Se ha valorado el orden y la limpieza de instalaciones y sistemas como primer factor de prevención de riesgos.</w:t>
      </w:r>
    </w:p>
    <w:p w14:paraId="217199F6" w14:textId="1D28766D" w:rsidR="00A96C64" w:rsidRDefault="00A96C64" w:rsidP="00A96C64"/>
    <w:p w14:paraId="3453F011" w14:textId="4CC62F4E" w:rsidR="00A96C64" w:rsidRDefault="00A96C64" w:rsidP="00A96C64"/>
    <w:p w14:paraId="6A118E7D" w14:textId="4CFA0DBD" w:rsidR="00A96C64" w:rsidRDefault="00A96C64" w:rsidP="00A96C64"/>
    <w:p w14:paraId="2FEDD71D" w14:textId="5062902B" w:rsidR="00A96C64" w:rsidRDefault="00A96C64" w:rsidP="00A96C64"/>
    <w:p w14:paraId="7041A559" w14:textId="268A8F6A" w:rsidR="00A96C64" w:rsidRDefault="00A96C64" w:rsidP="00A96C64"/>
    <w:p w14:paraId="2CAC9486" w14:textId="342D07D3" w:rsidR="00A96C64" w:rsidRDefault="00A96C64" w:rsidP="00A96C64"/>
    <w:p w14:paraId="3E91F721" w14:textId="4A6C0B9B" w:rsidR="00A96C64" w:rsidRDefault="00A96C64" w:rsidP="00A96C64"/>
    <w:p w14:paraId="2E061625" w14:textId="77777777" w:rsidR="00A96C64" w:rsidRPr="00A96C64" w:rsidRDefault="00A96C64" w:rsidP="00A96C64"/>
    <w:p w14:paraId="4DC9C0F4" w14:textId="761B6A55" w:rsidR="002750B6" w:rsidRDefault="002750B6" w:rsidP="002750B6">
      <w:pPr>
        <w:pStyle w:val="Encabezado2"/>
        <w:numPr>
          <w:ilvl w:val="0"/>
          <w:numId w:val="12"/>
        </w:numPr>
        <w:ind w:left="360"/>
        <w:rPr>
          <w:rFonts w:ascii="Calibri" w:hAnsi="Calibri" w:cs="Calibri"/>
        </w:rPr>
      </w:pPr>
      <w:bookmarkStart w:id="5" w:name="_Toc85842472"/>
      <w:bookmarkStart w:id="6" w:name="_Toc85842658"/>
      <w:bookmarkEnd w:id="3"/>
      <w:r w:rsidRPr="00E65F09">
        <w:rPr>
          <w:rFonts w:ascii="Calibri" w:hAnsi="Calibri" w:cs="Calibri"/>
        </w:rPr>
        <w:lastRenderedPageBreak/>
        <w:t>Criterios</w:t>
      </w:r>
      <w:r>
        <w:rPr>
          <w:rFonts w:ascii="Calibri" w:hAnsi="Calibri" w:cs="Calibri"/>
        </w:rPr>
        <w:t xml:space="preserve"> e Instrumentos</w:t>
      </w:r>
      <w:r w:rsidRPr="00E65F09">
        <w:rPr>
          <w:rFonts w:ascii="Calibri" w:hAnsi="Calibri" w:cs="Calibri"/>
        </w:rPr>
        <w:t xml:space="preserve"> de calificación</w:t>
      </w:r>
      <w:bookmarkEnd w:id="5"/>
      <w:bookmarkEnd w:id="6"/>
      <w:r w:rsidRPr="00E65F09">
        <w:rPr>
          <w:rFonts w:ascii="Calibri" w:hAnsi="Calibri" w:cs="Calibri"/>
        </w:rPr>
        <w:t xml:space="preserve"> </w:t>
      </w:r>
    </w:p>
    <w:p w14:paraId="4FFC423B" w14:textId="77777777" w:rsidR="002750B6" w:rsidRDefault="002750B6" w:rsidP="002750B6">
      <w:r>
        <w:t>Según el tipo de escenario, los instrumentos y criterios de calificación serán los siguientes:</w:t>
      </w:r>
    </w:p>
    <w:p w14:paraId="1B85B95D" w14:textId="77777777" w:rsidR="002750B6" w:rsidRPr="003F6DF8" w:rsidRDefault="002750B6" w:rsidP="002750B6"/>
    <w:p w14:paraId="7424D5C9" w14:textId="77777777" w:rsidR="002750B6" w:rsidRPr="003F6DF8" w:rsidRDefault="002750B6" w:rsidP="002750B6">
      <w:pPr>
        <w:rPr>
          <w:rFonts w:asciiTheme="minorHAnsi" w:hAnsiTheme="minorHAnsi" w:cstheme="minorHAnsi"/>
          <w:b/>
          <w:bCs/>
          <w:color w:val="00000A"/>
        </w:rPr>
      </w:pPr>
      <w:r w:rsidRPr="003F6DF8">
        <w:rPr>
          <w:rFonts w:asciiTheme="minorHAnsi" w:hAnsiTheme="minorHAnsi" w:cstheme="minorHAnsi"/>
          <w:b/>
          <w:bCs/>
        </w:rPr>
        <w:t>Criterios de calificación según escenario 1 ( presencial)</w:t>
      </w:r>
    </w:p>
    <w:p w14:paraId="442A7848" w14:textId="77777777" w:rsidR="002750B6" w:rsidRDefault="002750B6" w:rsidP="002750B6">
      <w:pPr>
        <w:ind w:firstLine="360"/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</w:rPr>
        <w:t>En cada una de las evaluaciones se calificarán los siguientes conceptos:</w:t>
      </w:r>
    </w:p>
    <w:p w14:paraId="2C552A2A" w14:textId="77777777" w:rsidR="002750B6" w:rsidRPr="003F6DF8" w:rsidRDefault="002750B6" w:rsidP="002750B6">
      <w:pPr>
        <w:ind w:firstLine="360"/>
        <w:rPr>
          <w:rFonts w:asciiTheme="minorHAnsi" w:hAnsiTheme="minorHAnsi" w:cstheme="minorHAnsi"/>
        </w:rPr>
      </w:pPr>
    </w:p>
    <w:p w14:paraId="5A3F5616" w14:textId="77777777" w:rsidR="002750B6" w:rsidRDefault="002750B6" w:rsidP="002750B6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1º) </w:t>
      </w:r>
      <w:r w:rsidRPr="003F6DF8">
        <w:rPr>
          <w:rFonts w:asciiTheme="minorHAnsi" w:hAnsiTheme="minorHAnsi" w:cstheme="minorHAnsi"/>
          <w:b/>
          <w:bCs/>
          <w:u w:val="single"/>
        </w:rPr>
        <w:t>Pruebas escritas o exámenes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  <w:b/>
          <w:bCs/>
          <w:u w:val="single"/>
        </w:rPr>
        <w:t>60% de la calificación de la evaluación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</w:rPr>
        <w:t>S</w:t>
      </w:r>
      <w:r w:rsidRPr="003F6DF8">
        <w:rPr>
          <w:rFonts w:asciiTheme="minorHAnsi" w:hAnsiTheme="minorHAnsi" w:cstheme="minorHAnsi"/>
        </w:rPr>
        <w:t>e realizará al menos una al final de cada trimestre. Estas pruebas incluirán la parte teórica de conocimientos que se haya adquirido durante la exposición de cada unidad de trabajo, y la parte práctica que consistirá en el desarrollo de ejercicios similares a los propuestos en clase. La calificación de esta prueba estará indicada en el enunciado del examen.</w:t>
      </w:r>
      <w:r>
        <w:rPr>
          <w:rFonts w:asciiTheme="minorHAnsi" w:hAnsiTheme="minorHAnsi" w:cstheme="minorHAnsi"/>
        </w:rPr>
        <w:t xml:space="preserve"> </w:t>
      </w:r>
    </w:p>
    <w:p w14:paraId="20F10F53" w14:textId="0AF73498" w:rsidR="002750B6" w:rsidRDefault="002750B6" w:rsidP="00275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se realizaran varias pruebas escritas o exámenes en una evaluación, la nota final será la media aritmética resultante de las calificaciones de dichas pruebas.</w:t>
      </w:r>
      <w:bookmarkStart w:id="7" w:name="_Hlk85835724"/>
      <w:r>
        <w:rPr>
          <w:rFonts w:asciiTheme="minorHAnsi" w:hAnsiTheme="minorHAnsi" w:cstheme="minorHAnsi"/>
        </w:rPr>
        <w:t xml:space="preserve"> Sólo se realizará media si la nota de cada prueba es superior a 4,5 puntos.</w:t>
      </w:r>
      <w:bookmarkEnd w:id="7"/>
    </w:p>
    <w:p w14:paraId="48A972B3" w14:textId="77777777" w:rsidR="002750B6" w:rsidRPr="003F6DF8" w:rsidRDefault="002750B6" w:rsidP="002750B6">
      <w:pPr>
        <w:rPr>
          <w:rFonts w:asciiTheme="minorHAnsi" w:hAnsiTheme="minorHAnsi" w:cstheme="minorHAnsi"/>
        </w:rPr>
      </w:pPr>
    </w:p>
    <w:p w14:paraId="5AE5A90F" w14:textId="77777777" w:rsidR="002750B6" w:rsidRDefault="002750B6" w:rsidP="002750B6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2º) </w:t>
      </w:r>
      <w:r w:rsidRPr="003F6DF8">
        <w:rPr>
          <w:rFonts w:asciiTheme="minorHAnsi" w:hAnsiTheme="minorHAnsi" w:cstheme="minorHAnsi"/>
          <w:b/>
          <w:bCs/>
          <w:u w:val="single"/>
        </w:rPr>
        <w:t>Realización de actividades de enseñanza – aprendizaje propuestas en clase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  <w:u w:val="single"/>
        </w:rPr>
        <w:t xml:space="preserve"> 40% de la calificación de la evaluación</w:t>
      </w:r>
      <w:r w:rsidRPr="003F6DF8">
        <w:rPr>
          <w:rFonts w:asciiTheme="minorHAnsi" w:hAnsiTheme="minorHAnsi" w:cstheme="minorHAnsi"/>
          <w:b/>
          <w:bCs/>
        </w:rPr>
        <w:t>:</w:t>
      </w:r>
      <w:r w:rsidRPr="003F6DF8">
        <w:rPr>
          <w:rFonts w:asciiTheme="minorHAnsi" w:hAnsiTheme="minorHAnsi" w:cstheme="minorHAnsi"/>
        </w:rPr>
        <w:t xml:space="preserve"> La realización de los ejercicios, trabajos y actividades propuestos por el profesor durante las horas de clase también serán considerados a la hora de calificar al alumno. Para calificarlos se tendrá en cuenta su correcta realización y el esfuerzo mostrado por el alumno en su desarrollo. La calificación de esta prueba estará indicada en el enunciado del trabajo solicitado. Estas pruebas se calificarán solo si se entregan </w:t>
      </w:r>
      <w:r>
        <w:rPr>
          <w:rFonts w:asciiTheme="minorHAnsi" w:hAnsiTheme="minorHAnsi" w:cstheme="minorHAnsi"/>
        </w:rPr>
        <w:t xml:space="preserve">en </w:t>
      </w:r>
      <w:r w:rsidRPr="003F6DF8">
        <w:rPr>
          <w:rFonts w:asciiTheme="minorHAnsi" w:hAnsiTheme="minorHAnsi" w:cstheme="minorHAnsi"/>
        </w:rPr>
        <w:t>el plazo especificado en clase. En caso contrario la calificación será de 0.</w:t>
      </w:r>
      <w:r>
        <w:rPr>
          <w:rFonts w:asciiTheme="minorHAnsi" w:hAnsiTheme="minorHAnsi" w:cstheme="minorHAnsi"/>
        </w:rPr>
        <w:t xml:space="preserve"> </w:t>
      </w:r>
    </w:p>
    <w:p w14:paraId="37939059" w14:textId="77777777" w:rsidR="002750B6" w:rsidRDefault="002750B6" w:rsidP="002750B6">
      <w:pPr>
        <w:rPr>
          <w:rFonts w:asciiTheme="minorHAnsi" w:hAnsiTheme="minorHAnsi" w:cstheme="minorHAnsi"/>
        </w:rPr>
      </w:pPr>
    </w:p>
    <w:p w14:paraId="33156F63" w14:textId="77777777" w:rsidR="002750B6" w:rsidRDefault="002750B6" w:rsidP="002750B6">
      <w:r>
        <w:lastRenderedPageBreak/>
        <w:t xml:space="preserve"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 </w:t>
      </w:r>
    </w:p>
    <w:p w14:paraId="585F06A0" w14:textId="77777777" w:rsidR="002750B6" w:rsidRDefault="002750B6" w:rsidP="002750B6"/>
    <w:p w14:paraId="508E03E9" w14:textId="77777777" w:rsidR="002750B6" w:rsidRDefault="002750B6" w:rsidP="002750B6">
      <w:r>
        <w:t>La nota final de las actividades de enseñanza-aprendizaje propuestas en una evaluación será la media aritmética resultante de las calificaciones de todos.</w:t>
      </w:r>
      <w:r w:rsidRPr="00302339">
        <w:t xml:space="preserve"> Sólo se realizará media si la nota de cada </w:t>
      </w:r>
      <w:r>
        <w:t>actividad</w:t>
      </w:r>
      <w:r w:rsidRPr="00302339">
        <w:t xml:space="preserve"> es superior a 4,5 puntos.</w:t>
      </w:r>
    </w:p>
    <w:p w14:paraId="7338EF09" w14:textId="77777777" w:rsidR="002750B6" w:rsidRDefault="002750B6" w:rsidP="002750B6"/>
    <w:p w14:paraId="6A3733F6" w14:textId="77777777" w:rsidR="002750B6" w:rsidRPr="00AC37A6" w:rsidRDefault="002750B6" w:rsidP="002750B6">
      <w:pPr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Protocolo de actuación ante plagio en pruebas y proyectos:</w:t>
      </w:r>
    </w:p>
    <w:p w14:paraId="62D162C5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Tanto las pruebas prácticas como los proyectos son individuales y deben ser realizados por el alumno con los recursos y tiempo que se dispongan.</w:t>
      </w:r>
    </w:p>
    <w:p w14:paraId="15C709D1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En el caso en el que el alumno utilice material que no esté permitido en pruebas prácticas y sea utilizado de manera visible para la realización de la prueba, el alumno será informado de tal evento y la prueba que esté realizando tendrá calificación de 1, independiente de lo que presente el alumno.</w:t>
      </w:r>
    </w:p>
    <w:p w14:paraId="0FD06022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Asimismo, si uno o más alumnos son susceptibles de haber incurrido en copia o plagio de una prueba práctica de otro alumno y/o alumnos, el profesor podrá someterlos a una prueba y entrevista específicas después del examen para verificar la propiedad individual de cada una de las pruebas. El contenido de dicha verificación está a disposición del profesor que realizará las preguntas pertinentes. Si dicha entrevista individual o colectiva es satisfactoria, se mantendrá la nota de las pruebas. Por el contrario, las pruebas prácticas y/o proyectos de los alumnos sometidos a dicha verificación tendrán una calificación de 1 en cada uno de las pruebas plagiadas.</w:t>
      </w:r>
    </w:p>
    <w:p w14:paraId="4804BD96" w14:textId="77777777" w:rsidR="002750B6" w:rsidRPr="001D680F" w:rsidRDefault="002750B6" w:rsidP="002750B6">
      <w:pPr>
        <w:suppressAutoHyphens/>
        <w:rPr>
          <w:rFonts w:asciiTheme="minorHAnsi" w:hAnsiTheme="minorHAnsi" w:cstheme="minorHAnsi"/>
        </w:rPr>
      </w:pPr>
    </w:p>
    <w:p w14:paraId="78E9F709" w14:textId="77777777" w:rsidR="002750B6" w:rsidRPr="001D680F" w:rsidRDefault="002750B6" w:rsidP="002750B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El cálculo de</w:t>
      </w:r>
      <w:r w:rsidRPr="001D680F">
        <w:rPr>
          <w:rFonts w:asciiTheme="minorHAnsi" w:hAnsiTheme="minorHAnsi" w:cstheme="minorHAnsi"/>
        </w:rPr>
        <w:t xml:space="preserve"> la nota de cada </w:t>
      </w:r>
      <w:r>
        <w:rPr>
          <w:rFonts w:asciiTheme="minorHAnsi" w:hAnsiTheme="minorHAnsi" w:cstheme="minorHAnsi"/>
        </w:rPr>
        <w:t>evaluación</w:t>
      </w:r>
      <w:r w:rsidRPr="001D6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realizará de la siguiente manera:</w:t>
      </w:r>
    </w:p>
    <w:p w14:paraId="42B7026A" w14:textId="77777777" w:rsidR="002750B6" w:rsidRPr="001D680F" w:rsidRDefault="002750B6" w:rsidP="002750B6">
      <w:pPr>
        <w:spacing w:line="240" w:lineRule="auto"/>
        <w:rPr>
          <w:rFonts w:asciiTheme="minorHAnsi" w:hAnsiTheme="minorHAnsi" w:cstheme="minorHAnsi"/>
        </w:rPr>
      </w:pPr>
    </w:p>
    <w:p w14:paraId="01E476F3" w14:textId="77777777" w:rsidR="002750B6" w:rsidRPr="00246CAB" w:rsidRDefault="002750B6" w:rsidP="002750B6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46CAB">
        <w:rPr>
          <w:rFonts w:asciiTheme="minorHAnsi" w:hAnsiTheme="minorHAnsi" w:cstheme="minorHAnsi"/>
          <w:b/>
          <w:bCs/>
        </w:rPr>
        <w:t>Nota Evaluación= Nota_Examen*0.60 + Nota_Actividades_Evaluables*0.40</w:t>
      </w:r>
    </w:p>
    <w:p w14:paraId="34B404F8" w14:textId="77777777" w:rsidR="002750B6" w:rsidRDefault="002750B6" w:rsidP="002750B6">
      <w:pPr>
        <w:spacing w:line="240" w:lineRule="auto"/>
        <w:rPr>
          <w:rFonts w:ascii="Arial" w:hAnsi="Arial" w:cs="Arial"/>
        </w:rPr>
      </w:pPr>
    </w:p>
    <w:p w14:paraId="792F7CE1" w14:textId="77777777" w:rsidR="002750B6" w:rsidRPr="00302339" w:rsidRDefault="002750B6" w:rsidP="002750B6">
      <w:pPr>
        <w:ind w:firstLine="708"/>
      </w:pPr>
      <w:r w:rsidRPr="00302339">
        <w:t>Para superar cada evaluación es necesario:</w:t>
      </w:r>
    </w:p>
    <w:p w14:paraId="2DD6ABF7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 xml:space="preserve">Haber obtenido </w:t>
      </w:r>
      <w:r>
        <w:rPr>
          <w:b/>
        </w:rPr>
        <w:t>de nota media un 5</w:t>
      </w:r>
      <w:r w:rsidRPr="00302339">
        <w:rPr>
          <w:b/>
        </w:rPr>
        <w:t xml:space="preserve"> en los exámenes escritos.</w:t>
      </w:r>
    </w:p>
    <w:p w14:paraId="1F8FEFAF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>Haber presentado todas las tareas</w:t>
      </w:r>
      <w:r>
        <w:rPr>
          <w:b/>
        </w:rPr>
        <w:t xml:space="preserve"> y haber obtenido al menos un 5 de nota media.</w:t>
      </w:r>
    </w:p>
    <w:p w14:paraId="6FEAD4F4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>No haber perdido el derecho a la evaluación continua.</w:t>
      </w:r>
    </w:p>
    <w:p w14:paraId="1EF88051" w14:textId="77777777" w:rsidR="002750B6" w:rsidRPr="00E60F13" w:rsidRDefault="002750B6" w:rsidP="002750B6">
      <w:pPr>
        <w:rPr>
          <w:rFonts w:cs="Calibri"/>
          <w:b/>
          <w:bCs/>
        </w:rPr>
      </w:pPr>
      <w:r w:rsidRPr="00E60F13">
        <w:rPr>
          <w:rFonts w:cs="Calibri"/>
          <w:b/>
          <w:bCs/>
        </w:rPr>
        <w:t>No se considera la evaluación superada si no se cumplen los criterios anteriores.</w:t>
      </w:r>
    </w:p>
    <w:p w14:paraId="3E5F57A7" w14:textId="77777777" w:rsidR="002750B6" w:rsidRPr="00847200" w:rsidRDefault="002750B6" w:rsidP="002750B6">
      <w:pPr>
        <w:spacing w:line="240" w:lineRule="auto"/>
        <w:rPr>
          <w:rFonts w:ascii="Arial" w:hAnsi="Arial" w:cs="Arial"/>
        </w:rPr>
      </w:pPr>
    </w:p>
    <w:p w14:paraId="6AB26C4B" w14:textId="77777777" w:rsidR="002750B6" w:rsidRPr="00E60F13" w:rsidRDefault="002750B6" w:rsidP="002750B6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2 (Semipresencial)</w:t>
      </w:r>
    </w:p>
    <w:p w14:paraId="59F17626" w14:textId="77777777" w:rsidR="002750B6" w:rsidRPr="00E60F13" w:rsidRDefault="002750B6" w:rsidP="002750B6">
      <w:pPr>
        <w:rPr>
          <w:rFonts w:cs="Calibri"/>
        </w:rPr>
      </w:pPr>
    </w:p>
    <w:p w14:paraId="1F4E8824" w14:textId="77777777" w:rsidR="002750B6" w:rsidRPr="00E60F13" w:rsidRDefault="002750B6" w:rsidP="002750B6">
      <w:pPr>
        <w:ind w:firstLine="576"/>
        <w:rPr>
          <w:rFonts w:cs="Calibri"/>
        </w:rPr>
      </w:pPr>
      <w:r w:rsidRPr="00E60F13">
        <w:rPr>
          <w:rFonts w:cs="Calibri"/>
        </w:rPr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22C99BFB" w14:textId="77777777" w:rsidR="002750B6" w:rsidRPr="00CB4845" w:rsidRDefault="002750B6" w:rsidP="002750B6">
      <w:pPr>
        <w:rPr>
          <w:rFonts w:cs="Calibri"/>
          <w:color w:val="548DD4"/>
        </w:rPr>
      </w:pPr>
    </w:p>
    <w:p w14:paraId="2B71A9ED" w14:textId="77777777" w:rsidR="002750B6" w:rsidRPr="00E60F13" w:rsidRDefault="002750B6" w:rsidP="002750B6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3 (No presencial)</w:t>
      </w:r>
    </w:p>
    <w:p w14:paraId="4290B659" w14:textId="77777777" w:rsidR="002750B6" w:rsidRPr="00E60F13" w:rsidRDefault="002750B6" w:rsidP="002750B6">
      <w:pPr>
        <w:rPr>
          <w:rFonts w:cs="Calibri"/>
        </w:rPr>
      </w:pPr>
    </w:p>
    <w:p w14:paraId="44B05896" w14:textId="77777777" w:rsidR="002750B6" w:rsidRDefault="002750B6" w:rsidP="002750B6">
      <w:pPr>
        <w:ind w:firstLine="576"/>
        <w:rPr>
          <w:rFonts w:cs="Calibri"/>
        </w:rPr>
      </w:pPr>
      <w:r w:rsidRPr="00E60F13">
        <w:rPr>
          <w:rFonts w:cs="Calibri"/>
        </w:rPr>
        <w:t xml:space="preserve">La evaluación será igual que en el segundo escenario (Semipresencial), salvo que las  pruebas con contenido práctico serán obligatoriamente: micropruebas online (pruebas consistentes en preguntas cortas con un tiempo muy limitado de respuesta aproximadamente 10 minutos para toda la prueba) o trabajos a realizar de manera </w:t>
      </w:r>
      <w:r w:rsidRPr="00E60F13">
        <w:rPr>
          <w:rFonts w:cs="Calibri"/>
        </w:rPr>
        <w:lastRenderedPageBreak/>
        <w:t>individual por parte de los alumnos, en este último caso se puede solicitar a los alumnos que realicen una defensa telemática de su trabajo.</w:t>
      </w:r>
    </w:p>
    <w:p w14:paraId="3C434DAE" w14:textId="586F8486" w:rsidR="002750B6" w:rsidRPr="002750B6" w:rsidRDefault="002750B6" w:rsidP="002750B6">
      <w:pPr>
        <w:pStyle w:val="Ttulo3"/>
        <w:numPr>
          <w:ilvl w:val="0"/>
          <w:numId w:val="0"/>
        </w:numPr>
        <w:ind w:left="720" w:hanging="720"/>
        <w:rPr>
          <w:u w:val="single"/>
        </w:rPr>
      </w:pPr>
      <w:bookmarkStart w:id="8" w:name="_Toc85534714"/>
      <w:bookmarkStart w:id="9" w:name="_Toc85842473"/>
      <w:bookmarkStart w:id="10" w:name="_Toc85842659"/>
      <w:r w:rsidRPr="002750B6">
        <w:rPr>
          <w:u w:val="single"/>
        </w:rPr>
        <w:t>Superación del módulo</w:t>
      </w:r>
      <w:bookmarkEnd w:id="8"/>
      <w:bookmarkEnd w:id="9"/>
      <w:bookmarkEnd w:id="10"/>
    </w:p>
    <w:p w14:paraId="7D07E838" w14:textId="77777777" w:rsidR="002750B6" w:rsidRDefault="002750B6" w:rsidP="002750B6">
      <w:pPr>
        <w:pStyle w:val="Textopredeterminado"/>
        <w:tabs>
          <w:tab w:val="left" w:pos="1428"/>
          <w:tab w:val="left" w:pos="1788"/>
        </w:tabs>
      </w:pPr>
      <w:r>
        <w:t xml:space="preserve">Para poder </w:t>
      </w:r>
      <w:r>
        <w:rPr>
          <w:b/>
        </w:rPr>
        <w:t>superar el módulo</w:t>
      </w:r>
      <w:r>
        <w:t xml:space="preserve"> es necesario:</w:t>
      </w:r>
    </w:p>
    <w:p w14:paraId="3364AEA5" w14:textId="77777777" w:rsidR="002750B6" w:rsidRDefault="002750B6" w:rsidP="002750B6">
      <w:pPr>
        <w:pStyle w:val="Textopredeterminado"/>
        <w:ind w:left="1134" w:hanging="360"/>
      </w:pPr>
      <w:r>
        <w:t>1.</w:t>
      </w:r>
      <w:r>
        <w:tab/>
        <w:t>Que las ausencias a clase no superen las establecidas en las normas de convivencia del instituto.</w:t>
      </w:r>
    </w:p>
    <w:p w14:paraId="388CC4FC" w14:textId="77777777" w:rsidR="002750B6" w:rsidRDefault="002750B6" w:rsidP="002750B6">
      <w:pPr>
        <w:pStyle w:val="Textopredeterminado"/>
        <w:ind w:left="1134" w:hanging="360"/>
      </w:pPr>
      <w:r>
        <w:t>2.</w:t>
      </w:r>
      <w:r>
        <w:tab/>
        <w:t>Que la actitud hacia el profesor y los compañeros sea correcta.</w:t>
      </w:r>
    </w:p>
    <w:p w14:paraId="0B6DD79C" w14:textId="77777777" w:rsidR="002750B6" w:rsidRDefault="002750B6" w:rsidP="002750B6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9"/>
      </w:tblGrid>
      <w:tr w:rsidR="002750B6" w14:paraId="7040E925" w14:textId="77777777" w:rsidTr="0024563E">
        <w:trPr>
          <w:cantSplit/>
        </w:trPr>
        <w:tc>
          <w:tcPr>
            <w:tcW w:w="8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F529E8" w14:textId="77777777" w:rsidR="002750B6" w:rsidRPr="00E60F13" w:rsidRDefault="002750B6" w:rsidP="0024563E">
            <w:pPr>
              <w:jc w:val="center"/>
              <w:rPr>
                <w:rFonts w:cs="Calibri"/>
                <w:b/>
              </w:rPr>
            </w:pPr>
            <w:r w:rsidRPr="00E60F13">
              <w:rPr>
                <w:rFonts w:cs="Calibri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4B555F87" w14:textId="77777777" w:rsidR="002750B6" w:rsidRPr="00E60F13" w:rsidRDefault="002750B6" w:rsidP="0024563E">
            <w:pPr>
              <w:jc w:val="center"/>
              <w:rPr>
                <w:rFonts w:cs="Calibri"/>
                <w:b/>
              </w:rPr>
            </w:pPr>
          </w:p>
          <w:p w14:paraId="253EAB5E" w14:textId="77777777" w:rsidR="002750B6" w:rsidRPr="00AC37A6" w:rsidRDefault="002750B6" w:rsidP="0024563E">
            <w:pPr>
              <w:jc w:val="center"/>
              <w:rPr>
                <w:rFonts w:cs="Calibri"/>
                <w:b/>
              </w:rPr>
            </w:pPr>
            <w:r w:rsidRPr="00E60F13">
              <w:rPr>
                <w:rFonts w:cs="Calibri"/>
                <w:b/>
              </w:rPr>
              <w:t>Si el alumno no supera una o varias evaluaciones, la nota final será de suspenso.</w:t>
            </w:r>
          </w:p>
        </w:tc>
      </w:tr>
    </w:tbl>
    <w:p w14:paraId="053D32E5" w14:textId="77777777" w:rsidR="002750B6" w:rsidRPr="00847200" w:rsidRDefault="002750B6" w:rsidP="002750B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7D637D0" w14:textId="77777777" w:rsidR="002750B6" w:rsidRPr="00847200" w:rsidRDefault="002750B6" w:rsidP="002750B6">
      <w:pPr>
        <w:spacing w:line="240" w:lineRule="auto"/>
        <w:rPr>
          <w:rFonts w:ascii="Arial" w:hAnsi="Arial" w:cs="Arial"/>
        </w:rPr>
      </w:pPr>
    </w:p>
    <w:p w14:paraId="1027D805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  <w:r w:rsidRPr="00847200">
        <w:rPr>
          <w:rFonts w:ascii="Arial" w:hAnsi="Arial" w:cs="Arial"/>
          <w:u w:val="single"/>
        </w:rPr>
        <w:t>IMPORTANTE:</w:t>
      </w:r>
    </w:p>
    <w:p w14:paraId="6396E6CB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</w:p>
    <w:p w14:paraId="2F20F5AE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  <w:r w:rsidRPr="00847200">
        <w:rPr>
          <w:rFonts w:ascii="Arial" w:hAnsi="Arial" w:cs="Arial"/>
        </w:rPr>
        <w:t>PARA APROBAR EL MODULO COMPLETO HAY QUE OBTENER UNA CALIFICACIÓN NUMERICA DE 5 PUNTOS O SUPERIOR.</w:t>
      </w:r>
    </w:p>
    <w:sectPr w:rsidR="002750B6" w:rsidRPr="00847200" w:rsidSect="002750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BD33" w14:textId="77777777" w:rsidR="00845A60" w:rsidRDefault="00845A60">
      <w:r>
        <w:separator/>
      </w:r>
    </w:p>
  </w:endnote>
  <w:endnote w:type="continuationSeparator" w:id="0">
    <w:p w14:paraId="1520A4DF" w14:textId="77777777" w:rsidR="00845A60" w:rsidRDefault="008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6688" w14:textId="77777777" w:rsidR="00845A60" w:rsidRDefault="00845A60">
      <w:r>
        <w:separator/>
      </w:r>
    </w:p>
  </w:footnote>
  <w:footnote w:type="continuationSeparator" w:id="0">
    <w:p w14:paraId="3CD02814" w14:textId="77777777" w:rsidR="00845A60" w:rsidRDefault="0084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 w14:paraId="2A01752C" w14:textId="77777777">
      <w:trPr>
        <w:trHeight w:val="1250"/>
      </w:trPr>
      <w:tc>
        <w:tcPr>
          <w:tcW w:w="1188" w:type="dxa"/>
        </w:tcPr>
        <w:p w14:paraId="3507F369" w14:textId="77777777" w:rsidR="00FD22E5" w:rsidRDefault="00FD22E5">
          <w:pPr>
            <w:pStyle w:val="Encabezado"/>
            <w:rPr>
              <w:rFonts w:ascii="Calibri" w:hAnsi="Calibri"/>
            </w:rPr>
          </w:pPr>
          <w:bookmarkStart w:id="11" w:name="_Hlk85842228"/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24A358EE" wp14:editId="29976C7E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14:paraId="486BF6FF" w14:textId="77777777" w:rsidR="00A96C64" w:rsidRDefault="00A96C64" w:rsidP="00A96C6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70EF767E" w14:textId="77777777" w:rsidR="00A96C64" w:rsidRPr="002A5B5C" w:rsidRDefault="00A96C64" w:rsidP="00A96C64">
          <w:pPr>
            <w:pStyle w:val="Encabezamiento"/>
            <w:jc w:val="center"/>
            <w:rPr>
              <w:rFonts w:cs="Calibri"/>
            </w:rPr>
          </w:pPr>
          <w:r>
            <w:rPr>
              <w:rFonts w:cs="Calibri"/>
            </w:rPr>
            <w:t>P</w:t>
          </w:r>
          <w:r w:rsidRPr="002A5B5C">
            <w:rPr>
              <w:rFonts w:cs="Calibri"/>
            </w:rPr>
            <w:t xml:space="preserve">rogramación didáctica del módulo: </w:t>
          </w:r>
          <w:bookmarkStart w:id="12" w:name="_Hlk85907662"/>
          <w:r w:rsidRPr="002A5B5C">
            <w:rPr>
              <w:rFonts w:cs="Calibri"/>
            </w:rPr>
            <w:t xml:space="preserve">Instalación y </w:t>
          </w:r>
          <w:r>
            <w:rPr>
              <w:rFonts w:cs="Calibri"/>
            </w:rPr>
            <w:t>M</w:t>
          </w:r>
          <w:r w:rsidRPr="002A5B5C">
            <w:rPr>
              <w:rFonts w:cs="Calibri"/>
            </w:rPr>
            <w:t xml:space="preserve">antenimiento de </w:t>
          </w:r>
          <w:r>
            <w:rPr>
              <w:rFonts w:cs="Calibri"/>
            </w:rPr>
            <w:t>R</w:t>
          </w:r>
          <w:r w:rsidRPr="002A5B5C">
            <w:rPr>
              <w:rFonts w:cs="Calibri"/>
            </w:rPr>
            <w:t xml:space="preserve">edes para </w:t>
          </w:r>
          <w:r>
            <w:rPr>
              <w:rFonts w:cs="Calibri"/>
            </w:rPr>
            <w:t>T</w:t>
          </w:r>
          <w:r w:rsidRPr="002A5B5C">
            <w:rPr>
              <w:rFonts w:cs="Calibri"/>
            </w:rPr>
            <w:t xml:space="preserve">ransmisión de </w:t>
          </w:r>
          <w:r>
            <w:rPr>
              <w:rFonts w:cs="Calibri"/>
            </w:rPr>
            <w:t>D</w:t>
          </w:r>
          <w:r w:rsidRPr="002A5B5C">
            <w:rPr>
              <w:rFonts w:cs="Calibri"/>
            </w:rPr>
            <w:t>atos</w:t>
          </w:r>
          <w:bookmarkEnd w:id="12"/>
        </w:p>
        <w:p w14:paraId="2DA1A228" w14:textId="77777777" w:rsidR="00A96C64" w:rsidRPr="002A5B5C" w:rsidRDefault="00A96C64" w:rsidP="00A96C64">
          <w:pPr>
            <w:pStyle w:val="Encabezamiento"/>
            <w:jc w:val="center"/>
            <w:rPr>
              <w:rFonts w:cs="Calibri"/>
            </w:rPr>
          </w:pPr>
          <w:r w:rsidRPr="002A5B5C">
            <w:rPr>
              <w:rFonts w:cs="Calibri"/>
            </w:rPr>
            <w:t xml:space="preserve">Ciclo Formativo: </w:t>
          </w:r>
          <w:bookmarkStart w:id="13" w:name="_Hlk85919805"/>
          <w:r w:rsidRPr="002A5B5C">
            <w:rPr>
              <w:rFonts w:cs="Calibri"/>
            </w:rPr>
            <w:t>FPB Informática y Comunicaciones</w:t>
          </w:r>
          <w:bookmarkEnd w:id="13"/>
        </w:p>
        <w:p w14:paraId="37F0BFF9" w14:textId="2CD69F0A" w:rsidR="001D444B" w:rsidRDefault="00A96C64" w:rsidP="00A96C64">
          <w:pPr>
            <w:pStyle w:val="Encabezado"/>
            <w:jc w:val="center"/>
            <w:rPr>
              <w:rFonts w:ascii="Calibri" w:hAnsi="Calibri"/>
            </w:rPr>
          </w:pPr>
          <w:r w:rsidRPr="002A5B5C">
            <w:rPr>
              <w:rFonts w:ascii="Calibri" w:hAnsi="Calibri" w:cs="Calibri"/>
            </w:rPr>
            <w:t>Curso 202</w:t>
          </w:r>
          <w:r>
            <w:rPr>
              <w:rFonts w:ascii="Calibri" w:hAnsi="Calibri" w:cs="Calibri"/>
            </w:rPr>
            <w:t>1</w:t>
          </w:r>
          <w:r w:rsidRPr="002A5B5C">
            <w:rPr>
              <w:rFonts w:ascii="Calibri" w:hAnsi="Calibri" w:cs="Calibri"/>
            </w:rPr>
            <w:t>/202</w:t>
          </w:r>
          <w:r>
            <w:rPr>
              <w:rFonts w:ascii="Calibri" w:hAnsi="Calibri" w:cs="Calibri"/>
            </w:rPr>
            <w:t>2</w:t>
          </w:r>
        </w:p>
      </w:tc>
    </w:tr>
    <w:bookmarkEnd w:id="11"/>
  </w:tbl>
  <w:p w14:paraId="14F8D7ED" w14:textId="77777777"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3E0BC0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B5461"/>
    <w:multiLevelType w:val="multilevel"/>
    <w:tmpl w:val="927635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FB1D0B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4F4505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A62D3E"/>
    <w:multiLevelType w:val="hybridMultilevel"/>
    <w:tmpl w:val="20CC7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D4F83"/>
    <w:rsid w:val="000E172B"/>
    <w:rsid w:val="000E1C62"/>
    <w:rsid w:val="000E5AC7"/>
    <w:rsid w:val="000F4904"/>
    <w:rsid w:val="00103EDD"/>
    <w:rsid w:val="00104E97"/>
    <w:rsid w:val="00106109"/>
    <w:rsid w:val="0011583B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74A87"/>
    <w:rsid w:val="002750B6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08EA"/>
    <w:rsid w:val="0041526D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26858"/>
    <w:rsid w:val="00531E89"/>
    <w:rsid w:val="00595235"/>
    <w:rsid w:val="00596261"/>
    <w:rsid w:val="005979D0"/>
    <w:rsid w:val="005B5897"/>
    <w:rsid w:val="005B6388"/>
    <w:rsid w:val="005D4663"/>
    <w:rsid w:val="005E0232"/>
    <w:rsid w:val="00606885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7D0C"/>
    <w:rsid w:val="007D1AAE"/>
    <w:rsid w:val="007E3CAC"/>
    <w:rsid w:val="007F1D00"/>
    <w:rsid w:val="007F29DD"/>
    <w:rsid w:val="00802BC0"/>
    <w:rsid w:val="00812593"/>
    <w:rsid w:val="00814792"/>
    <w:rsid w:val="00845A60"/>
    <w:rsid w:val="00886E29"/>
    <w:rsid w:val="00891351"/>
    <w:rsid w:val="00892999"/>
    <w:rsid w:val="0089668B"/>
    <w:rsid w:val="00897599"/>
    <w:rsid w:val="008A508E"/>
    <w:rsid w:val="008A6EBF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96C64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320E"/>
    <w:rsid w:val="00BC52FB"/>
    <w:rsid w:val="00BC67DD"/>
    <w:rsid w:val="00BF7234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D3667"/>
    <w:rsid w:val="00CE24B6"/>
    <w:rsid w:val="00CE3228"/>
    <w:rsid w:val="00D01FE9"/>
    <w:rsid w:val="00D03901"/>
    <w:rsid w:val="00D16E53"/>
    <w:rsid w:val="00D24C0E"/>
    <w:rsid w:val="00D61BB7"/>
    <w:rsid w:val="00D77917"/>
    <w:rsid w:val="00D85AA9"/>
    <w:rsid w:val="00DA2953"/>
    <w:rsid w:val="00DB4684"/>
    <w:rsid w:val="00DB561A"/>
    <w:rsid w:val="00DC536A"/>
    <w:rsid w:val="00DE0CCA"/>
    <w:rsid w:val="00DF6EA2"/>
    <w:rsid w:val="00DF7127"/>
    <w:rsid w:val="00E055F2"/>
    <w:rsid w:val="00E242D7"/>
    <w:rsid w:val="00E2721A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57E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3B767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6068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606885"/>
    <w:rPr>
      <w:rFonts w:ascii="Arial" w:hAnsi="Arial" w:cs="Arial"/>
      <w:b/>
      <w:bCs/>
      <w:i/>
      <w:iCs/>
      <w:color w:val="00000A"/>
      <w:sz w:val="28"/>
      <w:szCs w:val="28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A96C64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character" w:customStyle="1" w:styleId="Ttulo1Car">
    <w:name w:val="Título 1 Car"/>
    <w:basedOn w:val="Fuentedeprrafopredeter"/>
    <w:link w:val="Encabezado1"/>
    <w:uiPriority w:val="99"/>
    <w:rsid w:val="00A96C64"/>
    <w:rPr>
      <w:rFonts w:ascii="Arial" w:hAnsi="Arial" w:cs="Arial"/>
      <w:b/>
      <w:bCs/>
      <w:color w:val="00000A"/>
      <w:sz w:val="32"/>
      <w:szCs w:val="32"/>
    </w:rPr>
  </w:style>
  <w:style w:type="paragraph" w:customStyle="1" w:styleId="Encabezamiento">
    <w:name w:val="Encabezamiento"/>
    <w:basedOn w:val="Normal"/>
    <w:uiPriority w:val="99"/>
    <w:rsid w:val="00A96C64"/>
    <w:pPr>
      <w:tabs>
        <w:tab w:val="center" w:pos="4252"/>
        <w:tab w:val="right" w:pos="8504"/>
      </w:tabs>
      <w:suppressAutoHyphens/>
    </w:pPr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FBF34-17F6-4A4A-ADF3-B656227AA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64C2D-9388-4EB8-857A-94D7A518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57B3A-8CE9-471F-BB02-74297153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DF03C-E670-4A91-B5B4-801668A8B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11343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Yeray Lozano mayor</cp:lastModifiedBy>
  <cp:revision>3</cp:revision>
  <dcterms:created xsi:type="dcterms:W3CDTF">2021-10-23T20:14:00Z</dcterms:created>
  <dcterms:modified xsi:type="dcterms:W3CDTF">2021-10-23T20:19:00Z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