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9D0B9" w14:textId="77777777" w:rsidR="00470F26" w:rsidRDefault="00470F26" w:rsidP="00483D95">
      <w:pPr>
        <w:rPr>
          <w:b/>
        </w:rPr>
      </w:pPr>
    </w:p>
    <w:p w14:paraId="31690D3E" w14:textId="77777777" w:rsidR="00470F26" w:rsidRDefault="00470F26" w:rsidP="00483D95">
      <w:pPr>
        <w:rPr>
          <w:b/>
        </w:rPr>
      </w:pPr>
    </w:p>
    <w:p w14:paraId="262DDAAB" w14:textId="459A4D8B" w:rsidR="00470F26" w:rsidRDefault="00470F26" w:rsidP="00483D95">
      <w:pPr>
        <w:tabs>
          <w:tab w:val="left" w:pos="3165"/>
        </w:tabs>
        <w:rPr>
          <w:b/>
        </w:rPr>
      </w:pPr>
    </w:p>
    <w:p w14:paraId="482A8F1D" w14:textId="77777777" w:rsidR="00470F26" w:rsidRDefault="00470F26" w:rsidP="00483D95">
      <w:pPr>
        <w:rPr>
          <w:b/>
        </w:rPr>
      </w:pPr>
    </w:p>
    <w:p w14:paraId="7D108063" w14:textId="4B9D9773" w:rsidR="00DF3354" w:rsidRDefault="00470F26" w:rsidP="00C83F3F">
      <w:pPr>
        <w:autoSpaceDE w:val="0"/>
        <w:autoSpaceDN w:val="0"/>
        <w:adjustRightInd w:val="0"/>
        <w:jc w:val="center"/>
        <w:rPr>
          <w:b/>
          <w:sz w:val="48"/>
          <w:szCs w:val="48"/>
        </w:rPr>
      </w:pPr>
      <w:r>
        <w:rPr>
          <w:rFonts w:ascii="Cambria" w:hAnsi="Cambria"/>
          <w:b/>
          <w:sz w:val="48"/>
          <w:szCs w:val="48"/>
        </w:rPr>
        <w:t>Criterios de Evaluación del módulo</w:t>
      </w:r>
    </w:p>
    <w:p w14:paraId="23C11FD5" w14:textId="6D71E783" w:rsidR="00470F26" w:rsidRDefault="0025796E" w:rsidP="00C83F3F">
      <w:pPr>
        <w:autoSpaceDE w:val="0"/>
        <w:autoSpaceDN w:val="0"/>
        <w:adjustRightInd w:val="0"/>
        <w:jc w:val="center"/>
        <w:rPr>
          <w:rFonts w:ascii="Cambria" w:hAnsi="Cambria"/>
          <w:b/>
          <w:sz w:val="48"/>
          <w:szCs w:val="48"/>
        </w:rPr>
      </w:pPr>
      <w:r>
        <w:rPr>
          <w:rFonts w:ascii="Cambria" w:hAnsi="Cambria"/>
          <w:b/>
          <w:sz w:val="48"/>
          <w:szCs w:val="48"/>
        </w:rPr>
        <w:t>Hacking Ético</w:t>
      </w:r>
    </w:p>
    <w:p w14:paraId="42EEEF1E" w14:textId="77777777" w:rsidR="00470F26" w:rsidRDefault="00470F26" w:rsidP="00483D95">
      <w:pPr>
        <w:rPr>
          <w:rFonts w:ascii="Cambria" w:hAnsi="Cambria"/>
          <w:b/>
          <w:sz w:val="48"/>
          <w:szCs w:val="48"/>
        </w:rPr>
      </w:pPr>
    </w:p>
    <w:p w14:paraId="63582957" w14:textId="77777777" w:rsidR="00470F26" w:rsidRDefault="00470F26" w:rsidP="00483D95">
      <w:pPr>
        <w:rPr>
          <w:rFonts w:ascii="Cambria" w:hAnsi="Cambria"/>
          <w:b/>
          <w:sz w:val="48"/>
          <w:szCs w:val="48"/>
        </w:rPr>
      </w:pPr>
    </w:p>
    <w:p w14:paraId="4836C778" w14:textId="77777777" w:rsidR="00470F26" w:rsidRDefault="00470F26" w:rsidP="00483D95">
      <w:pPr>
        <w:rPr>
          <w:rFonts w:ascii="Cambria" w:hAnsi="Cambria"/>
          <w:b/>
          <w:sz w:val="48"/>
          <w:szCs w:val="48"/>
        </w:rPr>
      </w:pPr>
    </w:p>
    <w:p w14:paraId="788F30C4" w14:textId="65C55C12" w:rsidR="00470F26" w:rsidRDefault="00DF3354" w:rsidP="00C83F3F">
      <w:pPr>
        <w:jc w:val="center"/>
        <w:rPr>
          <w:rFonts w:ascii="Cambria" w:hAnsi="Cambria"/>
          <w:b/>
          <w:sz w:val="48"/>
          <w:szCs w:val="48"/>
        </w:rPr>
      </w:pPr>
      <w:r>
        <w:rPr>
          <w:rFonts w:ascii="Cambria" w:hAnsi="Cambria"/>
          <w:b/>
          <w:sz w:val="48"/>
          <w:szCs w:val="48"/>
        </w:rPr>
        <w:t>Especialización Ciberseguridad</w:t>
      </w:r>
    </w:p>
    <w:p w14:paraId="284EB7CE" w14:textId="00867A55" w:rsidR="00470F26" w:rsidRDefault="00470F26" w:rsidP="00C83F3F">
      <w:pPr>
        <w:jc w:val="center"/>
        <w:rPr>
          <w:rFonts w:ascii="Cambria" w:hAnsi="Cambria"/>
          <w:b/>
          <w:sz w:val="48"/>
          <w:szCs w:val="48"/>
        </w:rPr>
      </w:pPr>
      <w:r>
        <w:rPr>
          <w:rFonts w:ascii="Cambria" w:hAnsi="Cambria"/>
          <w:b/>
          <w:sz w:val="48"/>
          <w:szCs w:val="48"/>
        </w:rPr>
        <w:t>Curso: 20</w:t>
      </w:r>
      <w:r w:rsidR="003C034C">
        <w:rPr>
          <w:rFonts w:ascii="Cambria" w:hAnsi="Cambria"/>
          <w:b/>
          <w:sz w:val="48"/>
          <w:szCs w:val="48"/>
        </w:rPr>
        <w:t>2</w:t>
      </w:r>
      <w:r w:rsidR="0054366B">
        <w:rPr>
          <w:rFonts w:ascii="Cambria" w:hAnsi="Cambria"/>
          <w:b/>
          <w:sz w:val="48"/>
          <w:szCs w:val="48"/>
        </w:rPr>
        <w:t>1</w:t>
      </w:r>
      <w:r>
        <w:rPr>
          <w:rFonts w:ascii="Cambria" w:hAnsi="Cambria"/>
          <w:b/>
          <w:sz w:val="48"/>
          <w:szCs w:val="48"/>
        </w:rPr>
        <w:t>/202</w:t>
      </w:r>
      <w:r w:rsidR="0054366B">
        <w:rPr>
          <w:rFonts w:ascii="Cambria" w:hAnsi="Cambria"/>
          <w:b/>
          <w:sz w:val="48"/>
          <w:szCs w:val="48"/>
        </w:rPr>
        <w:t>2</w:t>
      </w:r>
    </w:p>
    <w:p w14:paraId="6EEE2330" w14:textId="77777777" w:rsidR="00470F26" w:rsidRDefault="00470F26" w:rsidP="00483D95">
      <w:pPr>
        <w:rPr>
          <w:rFonts w:ascii="Cambria" w:hAnsi="Cambria"/>
          <w:b/>
          <w:sz w:val="48"/>
          <w:szCs w:val="48"/>
        </w:rPr>
      </w:pPr>
    </w:p>
    <w:p w14:paraId="40C8E1F9" w14:textId="77777777" w:rsidR="00470F26" w:rsidRDefault="00470F26" w:rsidP="00483D95">
      <w:pPr>
        <w:rPr>
          <w:rFonts w:ascii="Cambria" w:hAnsi="Cambria"/>
          <w:b/>
          <w:sz w:val="48"/>
          <w:szCs w:val="48"/>
        </w:rPr>
      </w:pPr>
    </w:p>
    <w:p w14:paraId="7591D8E8" w14:textId="5DC004A3" w:rsidR="00470F26" w:rsidRDefault="00470F26" w:rsidP="00483D95">
      <w:pPr>
        <w:rPr>
          <w:rFonts w:ascii="Cambria" w:hAnsi="Cambria"/>
          <w:b/>
          <w:sz w:val="48"/>
          <w:szCs w:val="48"/>
        </w:rPr>
      </w:pPr>
      <w:r>
        <w:rPr>
          <w:rFonts w:ascii="Cambria" w:hAnsi="Cambria"/>
          <w:b/>
          <w:sz w:val="48"/>
          <w:szCs w:val="48"/>
        </w:rPr>
        <w:t xml:space="preserve">Profesor:  </w:t>
      </w:r>
      <w:r w:rsidR="0025796E">
        <w:rPr>
          <w:rFonts w:ascii="Cambria" w:hAnsi="Cambria"/>
          <w:b/>
          <w:sz w:val="48"/>
          <w:szCs w:val="48"/>
        </w:rPr>
        <w:t>Juan Carlos Márquez Llorente</w:t>
      </w:r>
    </w:p>
    <w:p w14:paraId="773B391C" w14:textId="77C7FB54" w:rsidR="00470F26" w:rsidRDefault="00470F26" w:rsidP="00483D95">
      <w:pPr>
        <w:rPr>
          <w:b/>
          <w:sz w:val="48"/>
          <w:szCs w:val="48"/>
        </w:rPr>
      </w:pPr>
      <w:r>
        <w:rPr>
          <w:b/>
          <w:sz w:val="48"/>
          <w:szCs w:val="48"/>
        </w:rPr>
        <w:br w:type="page"/>
      </w:r>
    </w:p>
    <w:p w14:paraId="360AD8B0" w14:textId="77777777" w:rsidR="00470F26" w:rsidRDefault="00470F26" w:rsidP="00483D95">
      <w:r>
        <w:lastRenderedPageBreak/>
        <w:t>INDICE:</w:t>
      </w:r>
    </w:p>
    <w:p w14:paraId="5927B8F8" w14:textId="77777777" w:rsidR="00470F26" w:rsidRDefault="00470F26" w:rsidP="00483D95"/>
    <w:p w14:paraId="63EFE48C" w14:textId="518FDB0B" w:rsidR="00470F26" w:rsidRDefault="00470F26" w:rsidP="00483D95">
      <w:pPr>
        <w:pStyle w:val="TDC1"/>
        <w:tabs>
          <w:tab w:val="right" w:leader="dot" w:pos="8494"/>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527146299" w:history="1">
        <w:r w:rsidRPr="001524F5">
          <w:rPr>
            <w:rStyle w:val="Hipervnculo"/>
            <w:noProof/>
          </w:rPr>
          <w:t>1. Criterios de evaluación</w:t>
        </w:r>
        <w:r>
          <w:rPr>
            <w:noProof/>
            <w:webHidden/>
          </w:rPr>
          <w:tab/>
        </w:r>
        <w:r>
          <w:rPr>
            <w:noProof/>
            <w:webHidden/>
          </w:rPr>
          <w:fldChar w:fldCharType="begin"/>
        </w:r>
        <w:r>
          <w:rPr>
            <w:noProof/>
            <w:webHidden/>
          </w:rPr>
          <w:instrText xml:space="preserve"> PAGEREF _Toc527146299 \h </w:instrText>
        </w:r>
        <w:r>
          <w:rPr>
            <w:noProof/>
            <w:webHidden/>
          </w:rPr>
        </w:r>
        <w:r>
          <w:rPr>
            <w:noProof/>
            <w:webHidden/>
          </w:rPr>
          <w:fldChar w:fldCharType="separate"/>
        </w:r>
        <w:r w:rsidR="0099060B">
          <w:rPr>
            <w:noProof/>
            <w:webHidden/>
          </w:rPr>
          <w:t>3</w:t>
        </w:r>
        <w:r>
          <w:rPr>
            <w:noProof/>
            <w:webHidden/>
          </w:rPr>
          <w:fldChar w:fldCharType="end"/>
        </w:r>
      </w:hyperlink>
    </w:p>
    <w:p w14:paraId="051FC2A1" w14:textId="242D8F31" w:rsidR="00470F26" w:rsidRDefault="001E0708" w:rsidP="00483D95">
      <w:pPr>
        <w:pStyle w:val="TDC1"/>
        <w:tabs>
          <w:tab w:val="right" w:leader="dot" w:pos="8494"/>
        </w:tabs>
        <w:rPr>
          <w:rFonts w:asciiTheme="minorHAnsi" w:eastAsiaTheme="minorEastAsia" w:hAnsiTheme="minorHAnsi" w:cstheme="minorBidi"/>
          <w:noProof/>
          <w:sz w:val="22"/>
          <w:szCs w:val="22"/>
        </w:rPr>
      </w:pPr>
      <w:hyperlink w:anchor="_Toc527146300" w:history="1">
        <w:r w:rsidR="00470F26" w:rsidRPr="001524F5">
          <w:rPr>
            <w:rStyle w:val="Hipervnculo"/>
            <w:noProof/>
          </w:rPr>
          <w:t>2. Criterios e Instrumentos de Calificación.</w:t>
        </w:r>
        <w:r w:rsidR="00470F26">
          <w:rPr>
            <w:noProof/>
            <w:webHidden/>
          </w:rPr>
          <w:tab/>
        </w:r>
        <w:r w:rsidR="00470F26">
          <w:rPr>
            <w:noProof/>
            <w:webHidden/>
          </w:rPr>
          <w:fldChar w:fldCharType="begin"/>
        </w:r>
        <w:r w:rsidR="00470F26">
          <w:rPr>
            <w:noProof/>
            <w:webHidden/>
          </w:rPr>
          <w:instrText xml:space="preserve"> PAGEREF _Toc527146300 \h </w:instrText>
        </w:r>
        <w:r w:rsidR="00470F26">
          <w:rPr>
            <w:noProof/>
            <w:webHidden/>
          </w:rPr>
        </w:r>
        <w:r w:rsidR="00470F26">
          <w:rPr>
            <w:noProof/>
            <w:webHidden/>
          </w:rPr>
          <w:fldChar w:fldCharType="separate"/>
        </w:r>
        <w:r w:rsidR="0099060B">
          <w:rPr>
            <w:noProof/>
            <w:webHidden/>
          </w:rPr>
          <w:t>6</w:t>
        </w:r>
        <w:r w:rsidR="00470F26">
          <w:rPr>
            <w:noProof/>
            <w:webHidden/>
          </w:rPr>
          <w:fldChar w:fldCharType="end"/>
        </w:r>
      </w:hyperlink>
    </w:p>
    <w:p w14:paraId="2E7A3FF4" w14:textId="3934FEC1" w:rsidR="00470F26" w:rsidRDefault="00470F26" w:rsidP="00483D95">
      <w:r>
        <w:fldChar w:fldCharType="end"/>
      </w:r>
    </w:p>
    <w:p w14:paraId="411E10E6" w14:textId="397B18C7" w:rsidR="009241DA" w:rsidRDefault="009241DA" w:rsidP="00483D95"/>
    <w:p w14:paraId="4272603C" w14:textId="752975B8" w:rsidR="009241DA" w:rsidRDefault="009241DA" w:rsidP="00483D95"/>
    <w:p w14:paraId="5295FD44" w14:textId="4C502C15" w:rsidR="009241DA" w:rsidRDefault="009241DA" w:rsidP="00483D95"/>
    <w:p w14:paraId="3AB81086" w14:textId="3AE6EDEC" w:rsidR="009241DA" w:rsidRDefault="009241DA" w:rsidP="00483D95"/>
    <w:p w14:paraId="48424A5B" w14:textId="49D6A5A4" w:rsidR="009241DA" w:rsidRDefault="009241DA" w:rsidP="00483D95"/>
    <w:p w14:paraId="4A9D6815" w14:textId="3CA915D9" w:rsidR="009241DA" w:rsidRDefault="009241DA" w:rsidP="00483D95"/>
    <w:p w14:paraId="3DB7F7A7" w14:textId="34621444" w:rsidR="009241DA" w:rsidRDefault="009241DA" w:rsidP="00483D95"/>
    <w:p w14:paraId="31B039A3" w14:textId="3460F3BF" w:rsidR="009241DA" w:rsidRDefault="009241DA" w:rsidP="00483D95"/>
    <w:p w14:paraId="0673A33B" w14:textId="100E0E44" w:rsidR="009241DA" w:rsidRDefault="009241DA" w:rsidP="00483D95"/>
    <w:p w14:paraId="06460040" w14:textId="080E6EED" w:rsidR="009241DA" w:rsidRDefault="009241DA" w:rsidP="00483D95"/>
    <w:p w14:paraId="2CC23525" w14:textId="2AD79BF4" w:rsidR="009241DA" w:rsidRDefault="009241DA" w:rsidP="00483D95"/>
    <w:p w14:paraId="2C86A0FB" w14:textId="639D80B2" w:rsidR="009241DA" w:rsidRDefault="009241DA" w:rsidP="00483D95"/>
    <w:p w14:paraId="2C5F1F75" w14:textId="23B477A5" w:rsidR="009241DA" w:rsidRDefault="009241DA" w:rsidP="00483D95"/>
    <w:p w14:paraId="5D5EAAE3" w14:textId="5DA17461" w:rsidR="009241DA" w:rsidRDefault="009241DA" w:rsidP="00483D95"/>
    <w:p w14:paraId="15FA9E4F" w14:textId="417E9DD9" w:rsidR="009241DA" w:rsidRDefault="009241DA" w:rsidP="00483D95"/>
    <w:p w14:paraId="317A6E6A" w14:textId="1A27D436" w:rsidR="009241DA" w:rsidRDefault="009241DA" w:rsidP="00483D95"/>
    <w:p w14:paraId="0504DD55" w14:textId="747B8D97" w:rsidR="009241DA" w:rsidRDefault="009241DA" w:rsidP="00483D95"/>
    <w:p w14:paraId="42F3E167" w14:textId="472653A8" w:rsidR="009241DA" w:rsidRDefault="009241DA" w:rsidP="00483D95"/>
    <w:p w14:paraId="2464204F" w14:textId="3DD0A441" w:rsidR="009241DA" w:rsidRDefault="009241DA" w:rsidP="00483D95"/>
    <w:p w14:paraId="083A350C" w14:textId="77777777" w:rsidR="009241DA" w:rsidRDefault="009241DA" w:rsidP="00483D95"/>
    <w:p w14:paraId="22F44697" w14:textId="4E01BC93" w:rsidR="00470F26" w:rsidRDefault="00470F26" w:rsidP="00483D95">
      <w:pPr>
        <w:pStyle w:val="Ttulo1"/>
        <w:numPr>
          <w:ilvl w:val="0"/>
          <w:numId w:val="0"/>
        </w:numPr>
        <w:ind w:left="432" w:hanging="432"/>
      </w:pPr>
      <w:bookmarkStart w:id="0" w:name="_Toc527136534"/>
      <w:bookmarkStart w:id="1" w:name="_Toc527136921"/>
      <w:bookmarkStart w:id="2" w:name="_Toc527146299"/>
      <w:r>
        <w:lastRenderedPageBreak/>
        <w:t xml:space="preserve">1. </w:t>
      </w:r>
      <w:r w:rsidRPr="00B25F7D">
        <w:t>Criterios de evaluación</w:t>
      </w:r>
      <w:bookmarkEnd w:id="0"/>
      <w:bookmarkEnd w:id="1"/>
      <w:bookmarkEnd w:id="2"/>
    </w:p>
    <w:p w14:paraId="6BBF32F0" w14:textId="4A5B0FC3" w:rsidR="00CA302A" w:rsidRPr="006D0791" w:rsidRDefault="00CA302A" w:rsidP="00483D95">
      <w:pPr>
        <w:rPr>
          <w:rFonts w:cs="Arial"/>
        </w:rPr>
      </w:pPr>
      <w:r w:rsidRPr="006D0791">
        <w:rPr>
          <w:rFonts w:cs="Arial"/>
        </w:rPr>
        <w:t>El currículo del ciclo formativo establece los siguientes resultados de aprendizaje (RA) y sus correspondientes criterios de evaluación (CE):</w:t>
      </w:r>
    </w:p>
    <w:p w14:paraId="7AFDD647" w14:textId="77777777" w:rsidR="0025796E" w:rsidRPr="0025796E" w:rsidRDefault="0025796E" w:rsidP="0025796E">
      <w:pPr>
        <w:pStyle w:val="NormalWeb"/>
        <w:jc w:val="both"/>
        <w:rPr>
          <w:rFonts w:ascii="Calibri" w:hAnsi="Calibri" w:cs="Arial"/>
          <w:lang w:eastAsia="es-ES"/>
        </w:rPr>
      </w:pPr>
      <w:r w:rsidRPr="0025796E">
        <w:rPr>
          <w:rFonts w:ascii="Calibri" w:hAnsi="Calibri" w:cs="Arial"/>
          <w:lang w:eastAsia="es-ES"/>
        </w:rPr>
        <w:t xml:space="preserve">1. Determina herramientas de </w:t>
      </w:r>
      <w:proofErr w:type="spellStart"/>
      <w:r w:rsidRPr="0025796E">
        <w:rPr>
          <w:rFonts w:ascii="Calibri" w:hAnsi="Calibri" w:cs="Arial"/>
          <w:lang w:eastAsia="es-ES"/>
        </w:rPr>
        <w:t>monitorización</w:t>
      </w:r>
      <w:proofErr w:type="spellEnd"/>
      <w:r w:rsidRPr="0025796E">
        <w:rPr>
          <w:rFonts w:ascii="Calibri" w:hAnsi="Calibri" w:cs="Arial"/>
          <w:lang w:eastAsia="es-ES"/>
        </w:rPr>
        <w:t xml:space="preserve"> para detectar vulnerabilidades aplicando </w:t>
      </w:r>
      <w:proofErr w:type="spellStart"/>
      <w:r w:rsidRPr="0025796E">
        <w:rPr>
          <w:rFonts w:ascii="Calibri" w:hAnsi="Calibri" w:cs="Arial"/>
          <w:lang w:eastAsia="es-ES"/>
        </w:rPr>
        <w:t>técnicas</w:t>
      </w:r>
      <w:proofErr w:type="spellEnd"/>
      <w:r w:rsidRPr="0025796E">
        <w:rPr>
          <w:rFonts w:ascii="Calibri" w:hAnsi="Calibri" w:cs="Arial"/>
          <w:lang w:eastAsia="es-ES"/>
        </w:rPr>
        <w:t xml:space="preserve"> de hacking </w:t>
      </w:r>
      <w:proofErr w:type="spellStart"/>
      <w:r w:rsidRPr="0025796E">
        <w:rPr>
          <w:rFonts w:ascii="Calibri" w:hAnsi="Calibri" w:cs="Arial"/>
          <w:lang w:eastAsia="es-ES"/>
        </w:rPr>
        <w:t>ético</w:t>
      </w:r>
      <w:proofErr w:type="spellEnd"/>
      <w:r w:rsidRPr="0025796E">
        <w:rPr>
          <w:rFonts w:ascii="Calibri" w:hAnsi="Calibri" w:cs="Arial"/>
          <w:lang w:eastAsia="es-ES"/>
        </w:rPr>
        <w:t xml:space="preserve">. </w:t>
      </w:r>
    </w:p>
    <w:p w14:paraId="77124E5C" w14:textId="77777777" w:rsidR="0025796E" w:rsidRPr="0025796E" w:rsidRDefault="0025796E" w:rsidP="0025796E">
      <w:pPr>
        <w:pStyle w:val="NormalWeb"/>
        <w:jc w:val="both"/>
        <w:rPr>
          <w:rFonts w:ascii="Calibri" w:hAnsi="Calibri" w:cs="Arial"/>
          <w:lang w:eastAsia="es-ES"/>
        </w:rPr>
      </w:pPr>
      <w:r w:rsidRPr="0025796E">
        <w:rPr>
          <w:rFonts w:ascii="Calibri" w:hAnsi="Calibri" w:cs="Arial"/>
          <w:lang w:eastAsia="es-ES"/>
        </w:rPr>
        <w:t xml:space="preserve">Criterios de </w:t>
      </w:r>
      <w:proofErr w:type="spellStart"/>
      <w:r w:rsidRPr="0025796E">
        <w:rPr>
          <w:rFonts w:ascii="Calibri" w:hAnsi="Calibri" w:cs="Arial"/>
          <w:lang w:eastAsia="es-ES"/>
        </w:rPr>
        <w:t>evaluación</w:t>
      </w:r>
      <w:proofErr w:type="spellEnd"/>
      <w:r w:rsidRPr="0025796E">
        <w:rPr>
          <w:rFonts w:ascii="Calibri" w:hAnsi="Calibri" w:cs="Arial"/>
          <w:lang w:eastAsia="es-ES"/>
        </w:rPr>
        <w:t xml:space="preserve">: </w:t>
      </w:r>
    </w:p>
    <w:p w14:paraId="14552745" w14:textId="77777777" w:rsidR="0025796E" w:rsidRPr="0025796E" w:rsidRDefault="0025796E" w:rsidP="0025796E">
      <w:pPr>
        <w:pStyle w:val="NormalWeb"/>
        <w:ind w:left="720"/>
        <w:jc w:val="both"/>
        <w:rPr>
          <w:rFonts w:ascii="Calibri" w:hAnsi="Calibri" w:cs="Arial"/>
          <w:lang w:eastAsia="es-ES"/>
        </w:rPr>
      </w:pPr>
      <w:r w:rsidRPr="0025796E">
        <w:rPr>
          <w:rFonts w:ascii="Calibri" w:hAnsi="Calibri" w:cs="Arial"/>
          <w:lang w:eastAsia="es-ES"/>
        </w:rPr>
        <w:t xml:space="preserve">a)  Se ha definido la </w:t>
      </w:r>
      <w:proofErr w:type="spellStart"/>
      <w:r w:rsidRPr="0025796E">
        <w:rPr>
          <w:rFonts w:ascii="Calibri" w:hAnsi="Calibri" w:cs="Arial"/>
          <w:lang w:eastAsia="es-ES"/>
        </w:rPr>
        <w:t>terminología</w:t>
      </w:r>
      <w:proofErr w:type="spellEnd"/>
      <w:r w:rsidRPr="0025796E">
        <w:rPr>
          <w:rFonts w:ascii="Calibri" w:hAnsi="Calibri" w:cs="Arial"/>
          <w:lang w:eastAsia="es-ES"/>
        </w:rPr>
        <w:t xml:space="preserve"> esencial del hacking </w:t>
      </w:r>
      <w:proofErr w:type="spellStart"/>
      <w:r w:rsidRPr="0025796E">
        <w:rPr>
          <w:rFonts w:ascii="Calibri" w:hAnsi="Calibri" w:cs="Arial"/>
          <w:lang w:eastAsia="es-ES"/>
        </w:rPr>
        <w:t>ético</w:t>
      </w:r>
      <w:proofErr w:type="spellEnd"/>
      <w:r w:rsidRPr="0025796E">
        <w:rPr>
          <w:rFonts w:ascii="Calibri" w:hAnsi="Calibri" w:cs="Arial"/>
          <w:lang w:eastAsia="es-ES"/>
        </w:rPr>
        <w:t xml:space="preserve">. </w:t>
      </w:r>
    </w:p>
    <w:p w14:paraId="21D041AF" w14:textId="77777777" w:rsidR="0025796E" w:rsidRPr="0025796E" w:rsidRDefault="0025796E" w:rsidP="0025796E">
      <w:pPr>
        <w:pStyle w:val="NormalWeb"/>
        <w:ind w:left="720"/>
        <w:jc w:val="both"/>
        <w:rPr>
          <w:rFonts w:ascii="Calibri" w:hAnsi="Calibri" w:cs="Arial"/>
          <w:lang w:eastAsia="es-ES"/>
        </w:rPr>
      </w:pPr>
      <w:r w:rsidRPr="0025796E">
        <w:rPr>
          <w:rFonts w:ascii="Calibri" w:hAnsi="Calibri" w:cs="Arial"/>
          <w:lang w:eastAsia="es-ES"/>
        </w:rPr>
        <w:t xml:space="preserve">b)  Se han identificado los conceptos </w:t>
      </w:r>
      <w:proofErr w:type="spellStart"/>
      <w:r w:rsidRPr="0025796E">
        <w:rPr>
          <w:rFonts w:ascii="Calibri" w:hAnsi="Calibri" w:cs="Arial"/>
          <w:lang w:eastAsia="es-ES"/>
        </w:rPr>
        <w:t>éticos</w:t>
      </w:r>
      <w:proofErr w:type="spellEnd"/>
      <w:r w:rsidRPr="0025796E">
        <w:rPr>
          <w:rFonts w:ascii="Calibri" w:hAnsi="Calibri" w:cs="Arial"/>
          <w:lang w:eastAsia="es-ES"/>
        </w:rPr>
        <w:t xml:space="preserve"> y legales frente al </w:t>
      </w:r>
      <w:proofErr w:type="spellStart"/>
      <w:r w:rsidRPr="0025796E">
        <w:rPr>
          <w:rFonts w:ascii="Calibri" w:hAnsi="Calibri" w:cs="Arial"/>
          <w:lang w:eastAsia="es-ES"/>
        </w:rPr>
        <w:t>ciberdelito</w:t>
      </w:r>
      <w:proofErr w:type="spellEnd"/>
      <w:r w:rsidRPr="0025796E">
        <w:rPr>
          <w:rFonts w:ascii="Calibri" w:hAnsi="Calibri" w:cs="Arial"/>
          <w:lang w:eastAsia="es-ES"/>
        </w:rPr>
        <w:t xml:space="preserve">. </w:t>
      </w:r>
    </w:p>
    <w:p w14:paraId="4D749237" w14:textId="77777777" w:rsidR="0025796E" w:rsidRPr="0025796E" w:rsidRDefault="0025796E" w:rsidP="0025796E">
      <w:pPr>
        <w:pStyle w:val="NormalWeb"/>
        <w:ind w:left="720"/>
        <w:jc w:val="both"/>
        <w:rPr>
          <w:rFonts w:ascii="Calibri" w:hAnsi="Calibri" w:cs="Arial"/>
          <w:lang w:eastAsia="es-ES"/>
        </w:rPr>
      </w:pPr>
      <w:r w:rsidRPr="0025796E">
        <w:rPr>
          <w:rFonts w:ascii="Calibri" w:hAnsi="Calibri" w:cs="Arial"/>
          <w:lang w:eastAsia="es-ES"/>
        </w:rPr>
        <w:t xml:space="preserve">c)  Se ha definido el alcance y condiciones de un test de </w:t>
      </w:r>
      <w:proofErr w:type="spellStart"/>
      <w:r w:rsidRPr="0025796E">
        <w:rPr>
          <w:rFonts w:ascii="Calibri" w:hAnsi="Calibri" w:cs="Arial"/>
          <w:lang w:eastAsia="es-ES"/>
        </w:rPr>
        <w:t>intrusión</w:t>
      </w:r>
      <w:proofErr w:type="spellEnd"/>
      <w:r w:rsidRPr="0025796E">
        <w:rPr>
          <w:rFonts w:ascii="Calibri" w:hAnsi="Calibri" w:cs="Arial"/>
          <w:lang w:eastAsia="es-ES"/>
        </w:rPr>
        <w:t xml:space="preserve">. </w:t>
      </w:r>
    </w:p>
    <w:p w14:paraId="0C1A384D" w14:textId="77777777" w:rsidR="0025796E" w:rsidRPr="0025796E" w:rsidRDefault="0025796E" w:rsidP="0025796E">
      <w:pPr>
        <w:pStyle w:val="NormalWeb"/>
        <w:ind w:left="720"/>
        <w:jc w:val="both"/>
        <w:rPr>
          <w:rFonts w:ascii="Calibri" w:hAnsi="Calibri" w:cs="Arial"/>
          <w:lang w:eastAsia="es-ES"/>
        </w:rPr>
      </w:pPr>
      <w:r w:rsidRPr="0025796E">
        <w:rPr>
          <w:rFonts w:ascii="Calibri" w:hAnsi="Calibri" w:cs="Arial"/>
          <w:lang w:eastAsia="es-ES"/>
        </w:rPr>
        <w:t xml:space="preserve">d)  Se han identificado los elementos esenciales de seguridad: confidencialidad, </w:t>
      </w:r>
    </w:p>
    <w:p w14:paraId="64EEA029" w14:textId="77777777" w:rsidR="0025796E" w:rsidRPr="0025796E" w:rsidRDefault="0025796E" w:rsidP="0025796E">
      <w:pPr>
        <w:pStyle w:val="NormalWeb"/>
        <w:ind w:left="720"/>
        <w:jc w:val="both"/>
        <w:rPr>
          <w:rFonts w:ascii="Calibri" w:hAnsi="Calibri" w:cs="Arial"/>
          <w:lang w:eastAsia="es-ES"/>
        </w:rPr>
      </w:pPr>
      <w:r w:rsidRPr="0025796E">
        <w:rPr>
          <w:rFonts w:ascii="Calibri" w:hAnsi="Calibri" w:cs="Arial"/>
          <w:lang w:eastAsia="es-ES"/>
        </w:rPr>
        <w:t xml:space="preserve">autenticidad, integridad y disponibilidad. </w:t>
      </w:r>
    </w:p>
    <w:p w14:paraId="31833BF5" w14:textId="77777777" w:rsidR="0025796E" w:rsidRPr="0025796E" w:rsidRDefault="0025796E" w:rsidP="0025796E">
      <w:pPr>
        <w:pStyle w:val="NormalWeb"/>
        <w:ind w:left="720"/>
        <w:jc w:val="both"/>
        <w:rPr>
          <w:rFonts w:ascii="Calibri" w:hAnsi="Calibri" w:cs="Arial"/>
          <w:lang w:eastAsia="es-ES"/>
        </w:rPr>
      </w:pPr>
      <w:r w:rsidRPr="0025796E">
        <w:rPr>
          <w:rFonts w:ascii="Calibri" w:hAnsi="Calibri" w:cs="Arial"/>
          <w:lang w:eastAsia="es-ES"/>
        </w:rPr>
        <w:t xml:space="preserve">e)  Se han identificado las fases de un ataque seguidas por un atacante. </w:t>
      </w:r>
    </w:p>
    <w:p w14:paraId="129FF189" w14:textId="77777777" w:rsidR="0025796E" w:rsidRPr="0025796E" w:rsidRDefault="0025796E" w:rsidP="0025796E">
      <w:pPr>
        <w:pStyle w:val="NormalWeb"/>
        <w:ind w:left="720"/>
        <w:jc w:val="both"/>
        <w:rPr>
          <w:rFonts w:ascii="Calibri" w:hAnsi="Calibri" w:cs="Arial"/>
          <w:lang w:eastAsia="es-ES"/>
        </w:rPr>
      </w:pPr>
      <w:r w:rsidRPr="0025796E">
        <w:rPr>
          <w:rFonts w:ascii="Calibri" w:hAnsi="Calibri" w:cs="Arial"/>
          <w:lang w:eastAsia="es-ES"/>
        </w:rPr>
        <w:t xml:space="preserve">f)  Se han analizado y definido los tipos vulnerabilidades. </w:t>
      </w:r>
    </w:p>
    <w:p w14:paraId="1D01CBD8" w14:textId="77777777" w:rsidR="0025796E" w:rsidRPr="0025796E" w:rsidRDefault="0025796E" w:rsidP="0025796E">
      <w:pPr>
        <w:pStyle w:val="NormalWeb"/>
        <w:ind w:left="720"/>
        <w:jc w:val="both"/>
        <w:rPr>
          <w:rFonts w:ascii="Calibri" w:hAnsi="Calibri" w:cs="Arial"/>
          <w:lang w:eastAsia="es-ES"/>
        </w:rPr>
      </w:pPr>
      <w:r w:rsidRPr="0025796E">
        <w:rPr>
          <w:rFonts w:ascii="Calibri" w:hAnsi="Calibri" w:cs="Arial"/>
          <w:lang w:eastAsia="es-ES"/>
        </w:rPr>
        <w:t xml:space="preserve">g)  Se han analizado y definido los tipos de ataque. </w:t>
      </w:r>
    </w:p>
    <w:p w14:paraId="68F5E459" w14:textId="77777777" w:rsidR="0025796E" w:rsidRPr="0025796E" w:rsidRDefault="0025796E" w:rsidP="0025796E">
      <w:pPr>
        <w:pStyle w:val="NormalWeb"/>
        <w:ind w:left="720"/>
        <w:jc w:val="both"/>
        <w:rPr>
          <w:rFonts w:ascii="Calibri" w:hAnsi="Calibri" w:cs="Arial"/>
          <w:lang w:eastAsia="es-ES"/>
        </w:rPr>
      </w:pPr>
      <w:r w:rsidRPr="0025796E">
        <w:rPr>
          <w:rFonts w:ascii="Calibri" w:hAnsi="Calibri" w:cs="Arial"/>
          <w:lang w:eastAsia="es-ES"/>
        </w:rPr>
        <w:t xml:space="preserve">h)  Se han determinado y caracterizado las diferentes vulnerabilidades existentes. </w:t>
      </w:r>
    </w:p>
    <w:p w14:paraId="69E36690" w14:textId="5A8D518F" w:rsidR="0025796E" w:rsidRPr="0025796E" w:rsidRDefault="0025796E" w:rsidP="0025796E">
      <w:pPr>
        <w:pStyle w:val="NormalWeb"/>
        <w:ind w:left="720"/>
        <w:jc w:val="both"/>
        <w:rPr>
          <w:rFonts w:ascii="Calibri" w:hAnsi="Calibri" w:cs="Arial"/>
          <w:lang w:eastAsia="es-ES"/>
        </w:rPr>
      </w:pPr>
      <w:r w:rsidRPr="0025796E">
        <w:rPr>
          <w:rFonts w:ascii="Calibri" w:hAnsi="Calibri" w:cs="Arial"/>
          <w:lang w:eastAsia="es-ES"/>
        </w:rPr>
        <w:t xml:space="preserve">i)  Se han determinado las herramientas de </w:t>
      </w:r>
      <w:proofErr w:type="spellStart"/>
      <w:r w:rsidRPr="0025796E">
        <w:rPr>
          <w:rFonts w:ascii="Calibri" w:hAnsi="Calibri" w:cs="Arial"/>
          <w:lang w:eastAsia="es-ES"/>
        </w:rPr>
        <w:t>monitorización</w:t>
      </w:r>
      <w:proofErr w:type="spellEnd"/>
      <w:r w:rsidRPr="0025796E">
        <w:rPr>
          <w:rFonts w:ascii="Calibri" w:hAnsi="Calibri" w:cs="Arial"/>
          <w:lang w:eastAsia="es-ES"/>
        </w:rPr>
        <w:t xml:space="preserve"> disponibles en el mercado adecuadas en </w:t>
      </w:r>
      <w:proofErr w:type="spellStart"/>
      <w:r w:rsidRPr="0025796E">
        <w:rPr>
          <w:rFonts w:ascii="Calibri" w:hAnsi="Calibri" w:cs="Arial"/>
          <w:lang w:eastAsia="es-ES"/>
        </w:rPr>
        <w:t>función</w:t>
      </w:r>
      <w:proofErr w:type="spellEnd"/>
      <w:r w:rsidRPr="0025796E">
        <w:rPr>
          <w:rFonts w:ascii="Calibri" w:hAnsi="Calibri" w:cs="Arial"/>
          <w:lang w:eastAsia="es-ES"/>
        </w:rPr>
        <w:t xml:space="preserve"> del tipo de </w:t>
      </w:r>
      <w:proofErr w:type="spellStart"/>
      <w:r w:rsidRPr="0025796E">
        <w:rPr>
          <w:rFonts w:ascii="Calibri" w:hAnsi="Calibri" w:cs="Arial"/>
          <w:lang w:eastAsia="es-ES"/>
        </w:rPr>
        <w:t>organización</w:t>
      </w:r>
      <w:proofErr w:type="spellEnd"/>
      <w:r w:rsidRPr="0025796E">
        <w:rPr>
          <w:rFonts w:ascii="Calibri" w:hAnsi="Calibri" w:cs="Arial"/>
          <w:lang w:eastAsia="es-ES"/>
        </w:rPr>
        <w:t xml:space="preserve">. </w:t>
      </w:r>
    </w:p>
    <w:p w14:paraId="340F26D7" w14:textId="7CF3E4F2" w:rsidR="0025796E" w:rsidRPr="0025796E" w:rsidRDefault="0025796E" w:rsidP="0025796E">
      <w:pPr>
        <w:pStyle w:val="NormalWeb"/>
        <w:jc w:val="both"/>
        <w:rPr>
          <w:rFonts w:ascii="Calibri" w:hAnsi="Calibri" w:cs="Arial"/>
          <w:lang w:eastAsia="es-ES"/>
        </w:rPr>
      </w:pPr>
      <w:r w:rsidRPr="0025796E">
        <w:rPr>
          <w:rFonts w:ascii="Calibri" w:hAnsi="Calibri" w:cs="Arial"/>
          <w:lang w:eastAsia="es-ES"/>
        </w:rPr>
        <w:t xml:space="preserve">2. Ataca y defiende en entornos de prueba, comunicaciones </w:t>
      </w:r>
      <w:proofErr w:type="spellStart"/>
      <w:r w:rsidRPr="0025796E">
        <w:rPr>
          <w:rFonts w:ascii="Calibri" w:hAnsi="Calibri" w:cs="Arial"/>
          <w:lang w:eastAsia="es-ES"/>
        </w:rPr>
        <w:t>inalámbricas</w:t>
      </w:r>
      <w:proofErr w:type="spellEnd"/>
      <w:r w:rsidRPr="0025796E">
        <w:rPr>
          <w:rFonts w:ascii="Calibri" w:hAnsi="Calibri" w:cs="Arial"/>
          <w:lang w:eastAsia="es-ES"/>
        </w:rPr>
        <w:t xml:space="preserve"> consiguiendo</w:t>
      </w:r>
      <w:r>
        <w:rPr>
          <w:rFonts w:ascii="Calibri" w:hAnsi="Calibri" w:cs="Arial"/>
          <w:lang w:eastAsia="es-ES"/>
        </w:rPr>
        <w:t xml:space="preserve"> </w:t>
      </w:r>
      <w:r w:rsidRPr="0025796E">
        <w:rPr>
          <w:rFonts w:ascii="Calibri" w:hAnsi="Calibri" w:cs="Arial"/>
          <w:lang w:eastAsia="es-ES"/>
        </w:rPr>
        <w:t xml:space="preserve">acceso a redes para demostrar sus vulnerabilidades. Criterios de </w:t>
      </w:r>
      <w:proofErr w:type="spellStart"/>
      <w:r w:rsidRPr="0025796E">
        <w:rPr>
          <w:rFonts w:ascii="Calibri" w:hAnsi="Calibri" w:cs="Arial"/>
          <w:lang w:eastAsia="es-ES"/>
        </w:rPr>
        <w:t>evaluación</w:t>
      </w:r>
      <w:proofErr w:type="spellEnd"/>
      <w:r w:rsidRPr="0025796E">
        <w:rPr>
          <w:rFonts w:ascii="Calibri" w:hAnsi="Calibri" w:cs="Arial"/>
          <w:lang w:eastAsia="es-ES"/>
        </w:rPr>
        <w:t xml:space="preserve">: </w:t>
      </w:r>
    </w:p>
    <w:p w14:paraId="115177E3" w14:textId="3DA769A9" w:rsidR="0025796E" w:rsidRPr="0025796E" w:rsidRDefault="0025796E" w:rsidP="0025796E">
      <w:pPr>
        <w:pStyle w:val="NormalWeb"/>
        <w:ind w:left="720"/>
        <w:jc w:val="both"/>
        <w:rPr>
          <w:rFonts w:ascii="Calibri" w:hAnsi="Calibri" w:cs="Arial"/>
          <w:lang w:eastAsia="es-ES"/>
        </w:rPr>
      </w:pPr>
      <w:r w:rsidRPr="0025796E">
        <w:rPr>
          <w:rFonts w:ascii="Calibri" w:hAnsi="Calibri" w:cs="Arial"/>
          <w:lang w:eastAsia="es-ES"/>
        </w:rPr>
        <w:t xml:space="preserve">a)  Se han configurado los distintos modos de funcionamiento de las tarjetas de red </w:t>
      </w:r>
      <w:proofErr w:type="spellStart"/>
      <w:r w:rsidRPr="0025796E">
        <w:rPr>
          <w:rFonts w:ascii="Calibri" w:hAnsi="Calibri" w:cs="Arial"/>
          <w:lang w:eastAsia="es-ES"/>
        </w:rPr>
        <w:t>inalámbricas</w:t>
      </w:r>
      <w:proofErr w:type="spellEnd"/>
      <w:r w:rsidRPr="0025796E">
        <w:rPr>
          <w:rFonts w:ascii="Calibri" w:hAnsi="Calibri" w:cs="Arial"/>
          <w:lang w:eastAsia="es-ES"/>
        </w:rPr>
        <w:t xml:space="preserve">. </w:t>
      </w:r>
    </w:p>
    <w:p w14:paraId="710DDA41" w14:textId="46080B54" w:rsidR="0025796E" w:rsidRPr="0025796E" w:rsidRDefault="0025796E" w:rsidP="0025796E">
      <w:pPr>
        <w:pStyle w:val="NormalWeb"/>
        <w:ind w:left="720"/>
        <w:jc w:val="both"/>
        <w:rPr>
          <w:rFonts w:ascii="Calibri" w:hAnsi="Calibri" w:cs="Arial"/>
          <w:lang w:eastAsia="es-ES"/>
        </w:rPr>
      </w:pPr>
      <w:r w:rsidRPr="0025796E">
        <w:rPr>
          <w:rFonts w:ascii="Calibri" w:hAnsi="Calibri" w:cs="Arial"/>
          <w:lang w:eastAsia="es-ES"/>
        </w:rPr>
        <w:t xml:space="preserve">b)  Se han descrito las </w:t>
      </w:r>
      <w:proofErr w:type="spellStart"/>
      <w:r w:rsidRPr="0025796E">
        <w:rPr>
          <w:rFonts w:ascii="Calibri" w:hAnsi="Calibri" w:cs="Arial"/>
          <w:lang w:eastAsia="es-ES"/>
        </w:rPr>
        <w:t>técnicas</w:t>
      </w:r>
      <w:proofErr w:type="spellEnd"/>
      <w:r w:rsidRPr="0025796E">
        <w:rPr>
          <w:rFonts w:ascii="Calibri" w:hAnsi="Calibri" w:cs="Arial"/>
          <w:lang w:eastAsia="es-ES"/>
        </w:rPr>
        <w:t xml:space="preserve"> de </w:t>
      </w:r>
      <w:proofErr w:type="spellStart"/>
      <w:r w:rsidRPr="0025796E">
        <w:rPr>
          <w:rFonts w:ascii="Calibri" w:hAnsi="Calibri" w:cs="Arial"/>
          <w:lang w:eastAsia="es-ES"/>
        </w:rPr>
        <w:t>encriptación</w:t>
      </w:r>
      <w:proofErr w:type="spellEnd"/>
      <w:r w:rsidRPr="0025796E">
        <w:rPr>
          <w:rFonts w:ascii="Calibri" w:hAnsi="Calibri" w:cs="Arial"/>
          <w:lang w:eastAsia="es-ES"/>
        </w:rPr>
        <w:t xml:space="preserve"> de las redes </w:t>
      </w:r>
      <w:proofErr w:type="spellStart"/>
      <w:r w:rsidRPr="0025796E">
        <w:rPr>
          <w:rFonts w:ascii="Calibri" w:hAnsi="Calibri" w:cs="Arial"/>
          <w:lang w:eastAsia="es-ES"/>
        </w:rPr>
        <w:t>inalámbricas</w:t>
      </w:r>
      <w:proofErr w:type="spellEnd"/>
      <w:r w:rsidRPr="0025796E">
        <w:rPr>
          <w:rFonts w:ascii="Calibri" w:hAnsi="Calibri" w:cs="Arial"/>
          <w:lang w:eastAsia="es-ES"/>
        </w:rPr>
        <w:t xml:space="preserve"> y sus puntos vulnerables. </w:t>
      </w:r>
    </w:p>
    <w:p w14:paraId="75748080" w14:textId="0A645470" w:rsidR="0025796E" w:rsidRPr="0025796E" w:rsidRDefault="0025796E" w:rsidP="0025796E">
      <w:pPr>
        <w:pStyle w:val="NormalWeb"/>
        <w:ind w:left="720"/>
        <w:jc w:val="both"/>
        <w:rPr>
          <w:rFonts w:ascii="Calibri" w:hAnsi="Calibri" w:cs="Arial"/>
          <w:lang w:eastAsia="es-ES"/>
        </w:rPr>
      </w:pPr>
      <w:r w:rsidRPr="0025796E">
        <w:rPr>
          <w:rFonts w:ascii="Calibri" w:hAnsi="Calibri" w:cs="Arial"/>
          <w:lang w:eastAsia="es-ES"/>
        </w:rPr>
        <w:lastRenderedPageBreak/>
        <w:t xml:space="preserve">c)  Se han detectado redes </w:t>
      </w:r>
      <w:proofErr w:type="spellStart"/>
      <w:r w:rsidRPr="0025796E">
        <w:rPr>
          <w:rFonts w:ascii="Calibri" w:hAnsi="Calibri" w:cs="Arial"/>
          <w:lang w:eastAsia="es-ES"/>
        </w:rPr>
        <w:t>inalámbricas</w:t>
      </w:r>
      <w:proofErr w:type="spellEnd"/>
      <w:r w:rsidRPr="0025796E">
        <w:rPr>
          <w:rFonts w:ascii="Calibri" w:hAnsi="Calibri" w:cs="Arial"/>
          <w:lang w:eastAsia="es-ES"/>
        </w:rPr>
        <w:t xml:space="preserve"> y se ha capturado </w:t>
      </w:r>
      <w:proofErr w:type="spellStart"/>
      <w:r w:rsidRPr="0025796E">
        <w:rPr>
          <w:rFonts w:ascii="Calibri" w:hAnsi="Calibri" w:cs="Arial"/>
          <w:lang w:eastAsia="es-ES"/>
        </w:rPr>
        <w:t>tráfico</w:t>
      </w:r>
      <w:proofErr w:type="spellEnd"/>
      <w:r w:rsidRPr="0025796E">
        <w:rPr>
          <w:rFonts w:ascii="Calibri" w:hAnsi="Calibri" w:cs="Arial"/>
          <w:lang w:eastAsia="es-ES"/>
        </w:rPr>
        <w:t xml:space="preserve"> de red como paso previo a su ataque. </w:t>
      </w:r>
    </w:p>
    <w:p w14:paraId="22E7E234" w14:textId="479C183F" w:rsidR="0025796E" w:rsidRPr="0025796E" w:rsidRDefault="0025796E" w:rsidP="0025796E">
      <w:pPr>
        <w:pStyle w:val="NormalWeb"/>
        <w:ind w:left="720"/>
        <w:jc w:val="both"/>
        <w:rPr>
          <w:rFonts w:ascii="Calibri" w:hAnsi="Calibri" w:cs="Arial"/>
          <w:lang w:eastAsia="es-ES"/>
        </w:rPr>
      </w:pPr>
      <w:r w:rsidRPr="0025796E">
        <w:rPr>
          <w:rFonts w:ascii="Calibri" w:hAnsi="Calibri" w:cs="Arial"/>
          <w:lang w:eastAsia="es-ES"/>
        </w:rPr>
        <w:t xml:space="preserve">d)  Se ha accedido a redes </w:t>
      </w:r>
      <w:proofErr w:type="spellStart"/>
      <w:r w:rsidRPr="0025796E">
        <w:rPr>
          <w:rFonts w:ascii="Calibri" w:hAnsi="Calibri" w:cs="Arial"/>
          <w:lang w:eastAsia="es-ES"/>
        </w:rPr>
        <w:t>inalámbricas</w:t>
      </w:r>
      <w:proofErr w:type="spellEnd"/>
      <w:r w:rsidRPr="0025796E">
        <w:rPr>
          <w:rFonts w:ascii="Calibri" w:hAnsi="Calibri" w:cs="Arial"/>
          <w:lang w:eastAsia="es-ES"/>
        </w:rPr>
        <w:t xml:space="preserve"> vulnerables.</w:t>
      </w:r>
    </w:p>
    <w:p w14:paraId="38D6EA05" w14:textId="77777777" w:rsidR="0025796E" w:rsidRPr="0025796E" w:rsidRDefault="0025796E" w:rsidP="0025796E">
      <w:pPr>
        <w:spacing w:before="100" w:beforeAutospacing="1" w:after="100" w:afterAutospacing="1" w:line="240" w:lineRule="auto"/>
        <w:ind w:left="720"/>
        <w:rPr>
          <w:rFonts w:cs="Arial"/>
        </w:rPr>
      </w:pPr>
      <w:r w:rsidRPr="0025796E">
        <w:rPr>
          <w:rFonts w:cs="Arial"/>
        </w:rPr>
        <w:t xml:space="preserve">e)  Se han caracterizado otros sistemas de </w:t>
      </w:r>
      <w:proofErr w:type="spellStart"/>
      <w:r w:rsidRPr="0025796E">
        <w:rPr>
          <w:rFonts w:cs="Arial"/>
        </w:rPr>
        <w:t>comunicación</w:t>
      </w:r>
      <w:proofErr w:type="spellEnd"/>
      <w:r w:rsidRPr="0025796E">
        <w:rPr>
          <w:rFonts w:cs="Arial"/>
        </w:rPr>
        <w:t xml:space="preserve"> </w:t>
      </w:r>
      <w:proofErr w:type="spellStart"/>
      <w:r w:rsidRPr="0025796E">
        <w:rPr>
          <w:rFonts w:cs="Arial"/>
        </w:rPr>
        <w:t>inalámbricos</w:t>
      </w:r>
      <w:proofErr w:type="spellEnd"/>
      <w:r w:rsidRPr="0025796E">
        <w:rPr>
          <w:rFonts w:cs="Arial"/>
        </w:rPr>
        <w:t xml:space="preserve"> y sus vulnerabilidades. </w:t>
      </w:r>
    </w:p>
    <w:p w14:paraId="27DCA732" w14:textId="77777777" w:rsidR="0025796E" w:rsidRPr="0025796E" w:rsidRDefault="0025796E" w:rsidP="0025796E">
      <w:pPr>
        <w:spacing w:before="100" w:beforeAutospacing="1" w:after="100" w:afterAutospacing="1" w:line="240" w:lineRule="auto"/>
        <w:ind w:left="720"/>
        <w:rPr>
          <w:rFonts w:cs="Arial"/>
        </w:rPr>
      </w:pPr>
      <w:r w:rsidRPr="0025796E">
        <w:rPr>
          <w:rFonts w:cs="Arial"/>
        </w:rPr>
        <w:t xml:space="preserve">f)  Se han utilizado </w:t>
      </w:r>
      <w:proofErr w:type="spellStart"/>
      <w:r w:rsidRPr="0025796E">
        <w:rPr>
          <w:rFonts w:cs="Arial"/>
        </w:rPr>
        <w:t>técnicas</w:t>
      </w:r>
      <w:proofErr w:type="spellEnd"/>
      <w:r w:rsidRPr="0025796E">
        <w:rPr>
          <w:rFonts w:cs="Arial"/>
        </w:rPr>
        <w:t xml:space="preserve"> de “Equipo Rojo y Azul”. </w:t>
      </w:r>
    </w:p>
    <w:p w14:paraId="5706F9C9" w14:textId="77777777" w:rsidR="0025796E" w:rsidRPr="0025796E" w:rsidRDefault="0025796E" w:rsidP="0025796E">
      <w:pPr>
        <w:spacing w:before="100" w:beforeAutospacing="1" w:after="100" w:afterAutospacing="1" w:line="240" w:lineRule="auto"/>
        <w:ind w:left="720"/>
        <w:rPr>
          <w:rFonts w:cs="Arial"/>
        </w:rPr>
      </w:pPr>
      <w:r w:rsidRPr="0025796E">
        <w:rPr>
          <w:rFonts w:cs="Arial"/>
        </w:rPr>
        <w:t xml:space="preserve">g)  Se han realizado informes sobre las vulnerabilidades detectadas. </w:t>
      </w:r>
    </w:p>
    <w:p w14:paraId="73D189AD" w14:textId="212C9E7D" w:rsidR="0025796E" w:rsidRPr="0025796E" w:rsidRDefault="0025796E" w:rsidP="0025796E">
      <w:pPr>
        <w:spacing w:before="100" w:beforeAutospacing="1" w:after="100" w:afterAutospacing="1" w:line="240" w:lineRule="auto"/>
        <w:rPr>
          <w:rFonts w:cs="Arial"/>
        </w:rPr>
      </w:pPr>
      <w:r>
        <w:rPr>
          <w:rFonts w:cs="Arial"/>
        </w:rPr>
        <w:t xml:space="preserve">3. </w:t>
      </w:r>
      <w:r w:rsidRPr="0025796E">
        <w:rPr>
          <w:rFonts w:cs="Arial"/>
        </w:rPr>
        <w:t xml:space="preserve">Ataca y defiende en entornos de prueba, redes y sistemas consiguiendo acceso a </w:t>
      </w:r>
      <w:proofErr w:type="spellStart"/>
      <w:r w:rsidRPr="0025796E">
        <w:rPr>
          <w:rFonts w:cs="Arial"/>
        </w:rPr>
        <w:t>información</w:t>
      </w:r>
      <w:proofErr w:type="spellEnd"/>
      <w:r w:rsidRPr="0025796E">
        <w:rPr>
          <w:rFonts w:cs="Arial"/>
        </w:rPr>
        <w:t xml:space="preserve"> y sistemas de terceros. Criterios de </w:t>
      </w:r>
      <w:proofErr w:type="spellStart"/>
      <w:r w:rsidRPr="0025796E">
        <w:rPr>
          <w:rFonts w:cs="Arial"/>
        </w:rPr>
        <w:t>evaluación</w:t>
      </w:r>
      <w:proofErr w:type="spellEnd"/>
      <w:r w:rsidRPr="0025796E">
        <w:rPr>
          <w:rFonts w:cs="Arial"/>
        </w:rPr>
        <w:t xml:space="preserve">: </w:t>
      </w:r>
    </w:p>
    <w:p w14:paraId="489BAF21" w14:textId="77777777" w:rsidR="0025796E" w:rsidRPr="0025796E" w:rsidRDefault="0025796E" w:rsidP="0025796E">
      <w:pPr>
        <w:spacing w:before="100" w:beforeAutospacing="1" w:after="100" w:afterAutospacing="1" w:line="240" w:lineRule="auto"/>
        <w:ind w:left="720"/>
        <w:rPr>
          <w:rFonts w:cs="Arial"/>
        </w:rPr>
      </w:pPr>
      <w:r w:rsidRPr="0025796E">
        <w:rPr>
          <w:rFonts w:cs="Arial"/>
        </w:rPr>
        <w:t xml:space="preserve">a)  Se ha recopilado </w:t>
      </w:r>
      <w:proofErr w:type="spellStart"/>
      <w:r w:rsidRPr="0025796E">
        <w:rPr>
          <w:rFonts w:cs="Arial"/>
        </w:rPr>
        <w:t>información</w:t>
      </w:r>
      <w:proofErr w:type="spellEnd"/>
      <w:r w:rsidRPr="0025796E">
        <w:rPr>
          <w:rFonts w:cs="Arial"/>
        </w:rPr>
        <w:t xml:space="preserve"> sobre la red y sistemas objetivo mediante </w:t>
      </w:r>
      <w:proofErr w:type="spellStart"/>
      <w:r w:rsidRPr="0025796E">
        <w:rPr>
          <w:rFonts w:cs="Arial"/>
        </w:rPr>
        <w:t>técnicas</w:t>
      </w:r>
      <w:proofErr w:type="spellEnd"/>
      <w:r w:rsidRPr="0025796E">
        <w:rPr>
          <w:rFonts w:cs="Arial"/>
        </w:rPr>
        <w:t xml:space="preserve"> pasivas. </w:t>
      </w:r>
    </w:p>
    <w:p w14:paraId="179A5371" w14:textId="77777777" w:rsidR="0025796E" w:rsidRPr="0025796E" w:rsidRDefault="0025796E" w:rsidP="0025796E">
      <w:pPr>
        <w:spacing w:before="100" w:beforeAutospacing="1" w:after="100" w:afterAutospacing="1" w:line="240" w:lineRule="auto"/>
        <w:ind w:left="720"/>
        <w:rPr>
          <w:rFonts w:cs="Arial"/>
        </w:rPr>
      </w:pPr>
      <w:r w:rsidRPr="0025796E">
        <w:rPr>
          <w:rFonts w:cs="Arial"/>
        </w:rPr>
        <w:t xml:space="preserve">b)  Se ha creado un inventario de equipos, cuentas de usuario y potenciales vulnerabilidades de la red y sistemas objetivo mediante </w:t>
      </w:r>
      <w:proofErr w:type="spellStart"/>
      <w:r w:rsidRPr="0025796E">
        <w:rPr>
          <w:rFonts w:cs="Arial"/>
        </w:rPr>
        <w:t>técnicas</w:t>
      </w:r>
      <w:proofErr w:type="spellEnd"/>
      <w:r w:rsidRPr="0025796E">
        <w:rPr>
          <w:rFonts w:cs="Arial"/>
        </w:rPr>
        <w:t xml:space="preserve"> activas. </w:t>
      </w:r>
    </w:p>
    <w:p w14:paraId="167FD059" w14:textId="77777777" w:rsidR="0025796E" w:rsidRPr="0025796E" w:rsidRDefault="0025796E" w:rsidP="0025796E">
      <w:pPr>
        <w:spacing w:before="100" w:beforeAutospacing="1" w:after="100" w:afterAutospacing="1" w:line="240" w:lineRule="auto"/>
        <w:ind w:left="720"/>
        <w:rPr>
          <w:rFonts w:cs="Arial"/>
        </w:rPr>
      </w:pPr>
      <w:r w:rsidRPr="0025796E">
        <w:rPr>
          <w:rFonts w:cs="Arial"/>
        </w:rPr>
        <w:t xml:space="preserve">c)  Se ha interceptado </w:t>
      </w:r>
      <w:proofErr w:type="spellStart"/>
      <w:r w:rsidRPr="0025796E">
        <w:rPr>
          <w:rFonts w:cs="Arial"/>
        </w:rPr>
        <w:t>tráfico</w:t>
      </w:r>
      <w:proofErr w:type="spellEnd"/>
      <w:r w:rsidRPr="0025796E">
        <w:rPr>
          <w:rFonts w:cs="Arial"/>
        </w:rPr>
        <w:t xml:space="preserve"> de red de terceros para buscar </w:t>
      </w:r>
      <w:proofErr w:type="spellStart"/>
      <w:r w:rsidRPr="0025796E">
        <w:rPr>
          <w:rFonts w:cs="Arial"/>
        </w:rPr>
        <w:t>información</w:t>
      </w:r>
      <w:proofErr w:type="spellEnd"/>
      <w:r w:rsidRPr="0025796E">
        <w:rPr>
          <w:rFonts w:cs="Arial"/>
        </w:rPr>
        <w:t xml:space="preserve"> sensible. </w:t>
      </w:r>
    </w:p>
    <w:p w14:paraId="09B316ED" w14:textId="3BBEBEF3" w:rsidR="0025796E" w:rsidRPr="0025796E" w:rsidRDefault="0025796E" w:rsidP="0025796E">
      <w:pPr>
        <w:spacing w:before="100" w:beforeAutospacing="1" w:after="100" w:afterAutospacing="1" w:line="240" w:lineRule="auto"/>
        <w:ind w:left="720"/>
        <w:rPr>
          <w:rFonts w:cs="Arial"/>
        </w:rPr>
      </w:pPr>
      <w:r w:rsidRPr="0025796E">
        <w:rPr>
          <w:rFonts w:cs="Arial"/>
        </w:rPr>
        <w:t xml:space="preserve">d)  Se ha realizado un ataque de intermediario, leyendo, insertando y modificando, a voluntad, el </w:t>
      </w:r>
      <w:proofErr w:type="spellStart"/>
      <w:r w:rsidRPr="0025796E">
        <w:rPr>
          <w:rFonts w:cs="Arial"/>
        </w:rPr>
        <w:t>tráfico</w:t>
      </w:r>
      <w:proofErr w:type="spellEnd"/>
      <w:r w:rsidRPr="0025796E">
        <w:rPr>
          <w:rFonts w:cs="Arial"/>
        </w:rPr>
        <w:t xml:space="preserve"> intercambiado por dos extremos remotos. </w:t>
      </w:r>
    </w:p>
    <w:p w14:paraId="368325B1" w14:textId="77777777" w:rsidR="0025796E" w:rsidRPr="0025796E" w:rsidRDefault="0025796E" w:rsidP="0025796E">
      <w:pPr>
        <w:spacing w:before="100" w:beforeAutospacing="1" w:after="100" w:afterAutospacing="1" w:line="240" w:lineRule="auto"/>
        <w:ind w:left="720"/>
        <w:rPr>
          <w:rFonts w:cs="Arial"/>
        </w:rPr>
      </w:pPr>
      <w:r w:rsidRPr="0025796E">
        <w:rPr>
          <w:rFonts w:cs="Arial"/>
        </w:rPr>
        <w:t xml:space="preserve">e)  Se han comprometido sistemas remotos explotando sus vulnerabilidades. </w:t>
      </w:r>
    </w:p>
    <w:p w14:paraId="6049B57D" w14:textId="77777777" w:rsidR="0025796E" w:rsidRPr="0025796E" w:rsidRDefault="0025796E" w:rsidP="0025796E">
      <w:pPr>
        <w:spacing w:before="100" w:beforeAutospacing="1" w:after="100" w:afterAutospacing="1" w:line="240" w:lineRule="auto"/>
        <w:rPr>
          <w:rFonts w:cs="Arial"/>
        </w:rPr>
      </w:pPr>
      <w:r w:rsidRPr="0025796E">
        <w:rPr>
          <w:rFonts w:cs="Arial"/>
        </w:rPr>
        <w:t xml:space="preserve">4. Consolida y utiliza sistemas comprometidos garantizando accesos futuros. Criterios de </w:t>
      </w:r>
      <w:proofErr w:type="spellStart"/>
      <w:r w:rsidRPr="0025796E">
        <w:rPr>
          <w:rFonts w:cs="Arial"/>
        </w:rPr>
        <w:t>evaluación</w:t>
      </w:r>
      <w:proofErr w:type="spellEnd"/>
      <w:r w:rsidRPr="0025796E">
        <w:rPr>
          <w:rFonts w:cs="Arial"/>
        </w:rPr>
        <w:t xml:space="preserve">: </w:t>
      </w:r>
    </w:p>
    <w:p w14:paraId="06C4737A" w14:textId="77777777" w:rsidR="0025796E" w:rsidRPr="0025796E" w:rsidRDefault="0025796E" w:rsidP="0025796E">
      <w:pPr>
        <w:spacing w:before="100" w:beforeAutospacing="1" w:after="100" w:afterAutospacing="1" w:line="240" w:lineRule="auto"/>
        <w:ind w:left="720"/>
        <w:rPr>
          <w:rFonts w:cs="Arial"/>
        </w:rPr>
      </w:pPr>
      <w:r w:rsidRPr="0025796E">
        <w:rPr>
          <w:rFonts w:cs="Arial"/>
        </w:rPr>
        <w:t xml:space="preserve">a)  Se han administrado sistemas remotos a </w:t>
      </w:r>
      <w:proofErr w:type="spellStart"/>
      <w:r w:rsidRPr="0025796E">
        <w:rPr>
          <w:rFonts w:cs="Arial"/>
        </w:rPr>
        <w:t>través</w:t>
      </w:r>
      <w:proofErr w:type="spellEnd"/>
      <w:r w:rsidRPr="0025796E">
        <w:rPr>
          <w:rFonts w:cs="Arial"/>
        </w:rPr>
        <w:t xml:space="preserve"> de herramientas de </w:t>
      </w:r>
      <w:proofErr w:type="spellStart"/>
      <w:r w:rsidRPr="0025796E">
        <w:rPr>
          <w:rFonts w:cs="Arial"/>
        </w:rPr>
        <w:t>línea</w:t>
      </w:r>
      <w:proofErr w:type="spellEnd"/>
      <w:r w:rsidRPr="0025796E">
        <w:rPr>
          <w:rFonts w:cs="Arial"/>
        </w:rPr>
        <w:t xml:space="preserve"> de comandos. </w:t>
      </w:r>
    </w:p>
    <w:p w14:paraId="398EB47C" w14:textId="77777777" w:rsidR="0025796E" w:rsidRPr="0025796E" w:rsidRDefault="0025796E" w:rsidP="0025796E">
      <w:pPr>
        <w:spacing w:before="100" w:beforeAutospacing="1" w:after="100" w:afterAutospacing="1" w:line="240" w:lineRule="auto"/>
        <w:ind w:left="720"/>
        <w:rPr>
          <w:rFonts w:cs="Arial"/>
        </w:rPr>
      </w:pPr>
      <w:r w:rsidRPr="0025796E">
        <w:rPr>
          <w:rFonts w:cs="Arial"/>
        </w:rPr>
        <w:t xml:space="preserve">b)  Se han comprometido </w:t>
      </w:r>
      <w:proofErr w:type="spellStart"/>
      <w:r w:rsidRPr="0025796E">
        <w:rPr>
          <w:rFonts w:cs="Arial"/>
        </w:rPr>
        <w:t>contraseñas</w:t>
      </w:r>
      <w:proofErr w:type="spellEnd"/>
      <w:r w:rsidRPr="0025796E">
        <w:rPr>
          <w:rFonts w:cs="Arial"/>
        </w:rPr>
        <w:t xml:space="preserve"> a </w:t>
      </w:r>
      <w:proofErr w:type="spellStart"/>
      <w:r w:rsidRPr="0025796E">
        <w:rPr>
          <w:rFonts w:cs="Arial"/>
        </w:rPr>
        <w:t>través</w:t>
      </w:r>
      <w:proofErr w:type="spellEnd"/>
      <w:r w:rsidRPr="0025796E">
        <w:rPr>
          <w:rFonts w:cs="Arial"/>
        </w:rPr>
        <w:t xml:space="preserve"> de ataques de diccionario, tablas </w:t>
      </w:r>
      <w:proofErr w:type="spellStart"/>
      <w:r w:rsidRPr="0025796E">
        <w:rPr>
          <w:rFonts w:cs="Arial"/>
        </w:rPr>
        <w:t>rainbow</w:t>
      </w:r>
      <w:proofErr w:type="spellEnd"/>
      <w:r w:rsidRPr="0025796E">
        <w:rPr>
          <w:rFonts w:cs="Arial"/>
        </w:rPr>
        <w:t xml:space="preserve"> y fuerza bruta contra sus versiones encriptadas. </w:t>
      </w:r>
    </w:p>
    <w:p w14:paraId="32AED67C" w14:textId="77777777" w:rsidR="0025796E" w:rsidRPr="0025796E" w:rsidRDefault="0025796E" w:rsidP="0025796E">
      <w:pPr>
        <w:spacing w:before="100" w:beforeAutospacing="1" w:after="100" w:afterAutospacing="1" w:line="240" w:lineRule="auto"/>
        <w:ind w:left="720"/>
        <w:rPr>
          <w:rFonts w:cs="Arial"/>
        </w:rPr>
      </w:pPr>
      <w:r w:rsidRPr="0025796E">
        <w:rPr>
          <w:rFonts w:cs="Arial"/>
        </w:rPr>
        <w:t xml:space="preserve">c)  Se ha accedido a sistemas adicionales a </w:t>
      </w:r>
      <w:proofErr w:type="spellStart"/>
      <w:r w:rsidRPr="0025796E">
        <w:rPr>
          <w:rFonts w:cs="Arial"/>
        </w:rPr>
        <w:t>través</w:t>
      </w:r>
      <w:proofErr w:type="spellEnd"/>
      <w:r w:rsidRPr="0025796E">
        <w:rPr>
          <w:rFonts w:cs="Arial"/>
        </w:rPr>
        <w:t xml:space="preserve"> de sistemas comprometidos. </w:t>
      </w:r>
    </w:p>
    <w:p w14:paraId="265A92DC" w14:textId="55B27EFE" w:rsidR="0025796E" w:rsidRPr="0025796E" w:rsidRDefault="0025796E" w:rsidP="0025796E">
      <w:pPr>
        <w:spacing w:before="100" w:beforeAutospacing="1" w:after="100" w:afterAutospacing="1" w:line="240" w:lineRule="auto"/>
        <w:ind w:left="720"/>
        <w:rPr>
          <w:rFonts w:cs="Arial"/>
        </w:rPr>
      </w:pPr>
      <w:r w:rsidRPr="0025796E">
        <w:rPr>
          <w:rFonts w:cs="Arial"/>
        </w:rPr>
        <w:t xml:space="preserve">d)  Se han instalado puertas traseras para garantizar accesos futuros a los sistemas comprometidos. </w:t>
      </w:r>
    </w:p>
    <w:p w14:paraId="7BC0BBD7" w14:textId="77777777" w:rsidR="0025796E" w:rsidRPr="0025796E" w:rsidRDefault="0025796E" w:rsidP="0025796E">
      <w:pPr>
        <w:spacing w:before="100" w:beforeAutospacing="1" w:after="100" w:afterAutospacing="1" w:line="240" w:lineRule="auto"/>
        <w:rPr>
          <w:rFonts w:cs="Arial"/>
        </w:rPr>
      </w:pPr>
      <w:r w:rsidRPr="0025796E">
        <w:rPr>
          <w:rFonts w:cs="Arial"/>
        </w:rPr>
        <w:lastRenderedPageBreak/>
        <w:t xml:space="preserve">5. Ataca y defiende en entornos de prueba, aplicaciones web consiguiendo acceso a datos o funcionalidades no autorizadas. </w:t>
      </w:r>
    </w:p>
    <w:p w14:paraId="2BF3109B" w14:textId="77777777" w:rsidR="0025796E" w:rsidRPr="0025796E" w:rsidRDefault="0025796E" w:rsidP="0025796E">
      <w:pPr>
        <w:spacing w:before="100" w:beforeAutospacing="1" w:after="100" w:afterAutospacing="1" w:line="240" w:lineRule="auto"/>
        <w:rPr>
          <w:rFonts w:cs="Arial"/>
        </w:rPr>
      </w:pPr>
      <w:r w:rsidRPr="0025796E">
        <w:rPr>
          <w:rFonts w:cs="Arial"/>
        </w:rPr>
        <w:t xml:space="preserve">Criterios de </w:t>
      </w:r>
      <w:proofErr w:type="spellStart"/>
      <w:r w:rsidRPr="0025796E">
        <w:rPr>
          <w:rFonts w:cs="Arial"/>
        </w:rPr>
        <w:t>evaluación</w:t>
      </w:r>
      <w:proofErr w:type="spellEnd"/>
      <w:r w:rsidRPr="0025796E">
        <w:rPr>
          <w:rFonts w:cs="Arial"/>
        </w:rPr>
        <w:t xml:space="preserve">: </w:t>
      </w:r>
    </w:p>
    <w:p w14:paraId="26D0DA8F" w14:textId="77777777" w:rsidR="0025796E" w:rsidRPr="0025796E" w:rsidRDefault="0025796E" w:rsidP="0025796E">
      <w:pPr>
        <w:spacing w:before="100" w:beforeAutospacing="1" w:after="100" w:afterAutospacing="1" w:line="240" w:lineRule="auto"/>
        <w:ind w:left="720"/>
        <w:rPr>
          <w:rFonts w:cs="Arial"/>
        </w:rPr>
      </w:pPr>
      <w:r w:rsidRPr="0025796E">
        <w:rPr>
          <w:rFonts w:cs="Arial"/>
        </w:rPr>
        <w:t xml:space="preserve">a)  Se han identificado los distintos sistemas de </w:t>
      </w:r>
      <w:proofErr w:type="spellStart"/>
      <w:r w:rsidRPr="0025796E">
        <w:rPr>
          <w:rFonts w:cs="Arial"/>
        </w:rPr>
        <w:t>autenticación</w:t>
      </w:r>
      <w:proofErr w:type="spellEnd"/>
      <w:r w:rsidRPr="0025796E">
        <w:rPr>
          <w:rFonts w:cs="Arial"/>
        </w:rPr>
        <w:t xml:space="preserve"> web, destacando sus debilidades y fortalezas. </w:t>
      </w:r>
    </w:p>
    <w:p w14:paraId="355D6808" w14:textId="77777777" w:rsidR="0025796E" w:rsidRPr="0025796E" w:rsidRDefault="0025796E" w:rsidP="0025796E">
      <w:pPr>
        <w:spacing w:before="100" w:beforeAutospacing="1" w:after="100" w:afterAutospacing="1" w:line="240" w:lineRule="auto"/>
        <w:ind w:left="720"/>
        <w:rPr>
          <w:rFonts w:cs="Arial"/>
        </w:rPr>
      </w:pPr>
      <w:r w:rsidRPr="0025796E">
        <w:rPr>
          <w:rFonts w:cs="Arial"/>
        </w:rPr>
        <w:t xml:space="preserve">b)  Se ha realizado un inventario de equipos, protocolos, servicios y sistemas operativos que proporcionan el servicio de una </w:t>
      </w:r>
      <w:proofErr w:type="spellStart"/>
      <w:r w:rsidRPr="0025796E">
        <w:rPr>
          <w:rFonts w:cs="Arial"/>
        </w:rPr>
        <w:t>aplicación</w:t>
      </w:r>
      <w:proofErr w:type="spellEnd"/>
      <w:r w:rsidRPr="0025796E">
        <w:rPr>
          <w:rFonts w:cs="Arial"/>
        </w:rPr>
        <w:t xml:space="preserve"> web. </w:t>
      </w:r>
    </w:p>
    <w:p w14:paraId="77A94663" w14:textId="6F972B83" w:rsidR="0025796E" w:rsidRPr="0025796E" w:rsidRDefault="0025796E" w:rsidP="0025796E">
      <w:pPr>
        <w:spacing w:before="100" w:beforeAutospacing="1" w:after="100" w:afterAutospacing="1" w:line="240" w:lineRule="auto"/>
        <w:ind w:left="720"/>
        <w:rPr>
          <w:rFonts w:cs="Arial"/>
        </w:rPr>
      </w:pPr>
      <w:r w:rsidRPr="0025796E">
        <w:rPr>
          <w:rFonts w:cs="Arial"/>
        </w:rPr>
        <w:t>c)  Se ha analizado el flujo de las interacciones realizadas entre el navegador y l</w:t>
      </w:r>
      <w:r>
        <w:rPr>
          <w:rFonts w:cs="Arial"/>
        </w:rPr>
        <w:t xml:space="preserve">a </w:t>
      </w:r>
      <w:proofErr w:type="spellStart"/>
      <w:r w:rsidRPr="0025796E">
        <w:rPr>
          <w:rFonts w:cs="Arial"/>
        </w:rPr>
        <w:t>aplicación</w:t>
      </w:r>
      <w:proofErr w:type="spellEnd"/>
      <w:r w:rsidRPr="0025796E">
        <w:rPr>
          <w:rFonts w:cs="Arial"/>
        </w:rPr>
        <w:t xml:space="preserve"> web durante su uso normal. </w:t>
      </w:r>
    </w:p>
    <w:p w14:paraId="38FDA03C" w14:textId="156D2838" w:rsidR="0025796E" w:rsidRPr="0025796E" w:rsidRDefault="0025796E" w:rsidP="0025796E">
      <w:pPr>
        <w:spacing w:before="100" w:beforeAutospacing="1" w:after="100" w:afterAutospacing="1" w:line="240" w:lineRule="auto"/>
        <w:ind w:left="720"/>
        <w:rPr>
          <w:rFonts w:cs="Arial"/>
        </w:rPr>
      </w:pPr>
      <w:r w:rsidRPr="0025796E">
        <w:rPr>
          <w:rFonts w:cs="Arial"/>
        </w:rPr>
        <w:t xml:space="preserve">d)  Se han examinado manualmente aplicaciones web en busca de las vulnerabilidades </w:t>
      </w:r>
      <w:proofErr w:type="spellStart"/>
      <w:r w:rsidRPr="0025796E">
        <w:rPr>
          <w:rFonts w:cs="Arial"/>
        </w:rPr>
        <w:t>más</w:t>
      </w:r>
      <w:proofErr w:type="spellEnd"/>
      <w:r w:rsidRPr="0025796E">
        <w:rPr>
          <w:rFonts w:cs="Arial"/>
        </w:rPr>
        <w:t xml:space="preserve"> habituales. </w:t>
      </w:r>
    </w:p>
    <w:p w14:paraId="74F8FC0E" w14:textId="77777777" w:rsidR="0025796E" w:rsidRPr="0025796E" w:rsidRDefault="0025796E" w:rsidP="0025796E">
      <w:pPr>
        <w:spacing w:before="100" w:beforeAutospacing="1" w:after="100" w:afterAutospacing="1" w:line="240" w:lineRule="auto"/>
        <w:ind w:left="720"/>
        <w:rPr>
          <w:rFonts w:cs="Arial"/>
        </w:rPr>
      </w:pPr>
      <w:r w:rsidRPr="0025796E">
        <w:rPr>
          <w:rFonts w:cs="Arial"/>
        </w:rPr>
        <w:t xml:space="preserve">e)  Se han usado herramientas de </w:t>
      </w:r>
      <w:proofErr w:type="spellStart"/>
      <w:r w:rsidRPr="0025796E">
        <w:rPr>
          <w:rFonts w:cs="Arial"/>
        </w:rPr>
        <w:t>búsquedas</w:t>
      </w:r>
      <w:proofErr w:type="spellEnd"/>
      <w:r w:rsidRPr="0025796E">
        <w:rPr>
          <w:rFonts w:cs="Arial"/>
        </w:rPr>
        <w:t xml:space="preserve"> y </w:t>
      </w:r>
      <w:proofErr w:type="spellStart"/>
      <w:r w:rsidRPr="0025796E">
        <w:rPr>
          <w:rFonts w:cs="Arial"/>
        </w:rPr>
        <w:t>explotación</w:t>
      </w:r>
      <w:proofErr w:type="spellEnd"/>
      <w:r w:rsidRPr="0025796E">
        <w:rPr>
          <w:rFonts w:cs="Arial"/>
        </w:rPr>
        <w:t xml:space="preserve"> de vulnerabilidades web. </w:t>
      </w:r>
    </w:p>
    <w:p w14:paraId="42C4AC95" w14:textId="33A30370" w:rsidR="009241DA" w:rsidRPr="0025796E" w:rsidRDefault="0025796E" w:rsidP="0025796E">
      <w:pPr>
        <w:spacing w:before="100" w:beforeAutospacing="1" w:after="100" w:afterAutospacing="1" w:line="240" w:lineRule="auto"/>
        <w:ind w:left="720"/>
        <w:rPr>
          <w:rFonts w:cs="Arial"/>
        </w:rPr>
      </w:pPr>
      <w:r w:rsidRPr="0025796E">
        <w:rPr>
          <w:rFonts w:cs="Arial"/>
        </w:rPr>
        <w:t xml:space="preserve">f)  Se ha realizado la </w:t>
      </w:r>
      <w:proofErr w:type="spellStart"/>
      <w:r w:rsidRPr="0025796E">
        <w:rPr>
          <w:rFonts w:cs="Arial"/>
        </w:rPr>
        <w:t>búsqueda</w:t>
      </w:r>
      <w:proofErr w:type="spellEnd"/>
      <w:r w:rsidRPr="0025796E">
        <w:rPr>
          <w:rFonts w:cs="Arial"/>
        </w:rPr>
        <w:t xml:space="preserve"> y </w:t>
      </w:r>
      <w:proofErr w:type="spellStart"/>
      <w:r w:rsidRPr="0025796E">
        <w:rPr>
          <w:rFonts w:cs="Arial"/>
        </w:rPr>
        <w:t>explotación</w:t>
      </w:r>
      <w:proofErr w:type="spellEnd"/>
      <w:r w:rsidRPr="0025796E">
        <w:rPr>
          <w:rFonts w:cs="Arial"/>
        </w:rPr>
        <w:t xml:space="preserve"> de vulnerabilidades web mediante herramientas software. </w:t>
      </w:r>
    </w:p>
    <w:p w14:paraId="26C6B8FB" w14:textId="06033AD8" w:rsidR="00470F26" w:rsidRDefault="00470F26" w:rsidP="0025796E">
      <w:pPr>
        <w:pStyle w:val="Ttulo1"/>
        <w:numPr>
          <w:ilvl w:val="0"/>
          <w:numId w:val="0"/>
        </w:numPr>
      </w:pPr>
      <w:bookmarkStart w:id="3" w:name="_Toc527145924"/>
      <w:bookmarkStart w:id="4" w:name="_Toc527146300"/>
      <w:r>
        <w:t xml:space="preserve">2. </w:t>
      </w:r>
      <w:r w:rsidRPr="00B51978">
        <w:t>Criterios</w:t>
      </w:r>
      <w:r>
        <w:t xml:space="preserve"> e Instrumentos de C</w:t>
      </w:r>
      <w:r w:rsidRPr="00B51978">
        <w:t>alificación</w:t>
      </w:r>
      <w:r>
        <w:t>.</w:t>
      </w:r>
      <w:bookmarkEnd w:id="3"/>
      <w:bookmarkEnd w:id="4"/>
    </w:p>
    <w:p w14:paraId="44F524C5" w14:textId="77777777" w:rsidR="00483D95" w:rsidRPr="00483D95" w:rsidRDefault="00483D95" w:rsidP="00483D95"/>
    <w:p w14:paraId="72099B1D" w14:textId="6D257418" w:rsidR="00CA302A" w:rsidRDefault="00CA302A" w:rsidP="00483D95">
      <w:pPr>
        <w:ind w:firstLine="425"/>
        <w:rPr>
          <w:rFonts w:cs="Arial"/>
        </w:rPr>
      </w:pPr>
      <w:r w:rsidRPr="006D0791">
        <w:rPr>
          <w:rFonts w:cs="Arial"/>
        </w:rPr>
        <w:t>Siguiendo las directrices de la orden 29/07/2010, se vinculan los criterios de evaluación de los distintos resultados de aprendizaje con las diversas unidades de trabajo de tal forma que se evalúan todos los criterios conforme al currículo.</w:t>
      </w:r>
    </w:p>
    <w:p w14:paraId="50E3B0C8" w14:textId="77777777" w:rsidR="00483D95" w:rsidRPr="006D0791" w:rsidRDefault="00483D95" w:rsidP="00483D95">
      <w:pPr>
        <w:ind w:firstLine="425"/>
        <w:rPr>
          <w:rFonts w:cs="Arial"/>
        </w:rPr>
      </w:pPr>
    </w:p>
    <w:p w14:paraId="4993EE94" w14:textId="4A01DBF8" w:rsidR="00CA302A" w:rsidRDefault="00CA302A" w:rsidP="00483D95">
      <w:pPr>
        <w:ind w:firstLine="425"/>
        <w:rPr>
          <w:rFonts w:cs="Arial"/>
        </w:rPr>
      </w:pPr>
      <w:r w:rsidRPr="006D0791">
        <w:rPr>
          <w:rFonts w:cs="Arial"/>
        </w:rPr>
        <w:t>En la siguiente tabla, se especifican por cada resultado de aprendizaje, cuáles son sus criterios de evaluación indicando que unidades de trabajo los contemplan y que instrumentos de evaluación emplearemos para medir el grado de consecución. Por último, se indica el peso de cada criterio sobre el resultado de aprendizaje.</w:t>
      </w:r>
    </w:p>
    <w:p w14:paraId="4460A7D6" w14:textId="4B13A86A" w:rsidR="00483D95" w:rsidRDefault="00483D95" w:rsidP="00483D95">
      <w:pPr>
        <w:ind w:firstLine="425"/>
        <w:rPr>
          <w:rFonts w:cs="Arial"/>
          <w:lang w:val="es-ES_tradnl"/>
        </w:rPr>
      </w:pPr>
    </w:p>
    <w:p w14:paraId="4C30C505" w14:textId="77777777" w:rsidR="00483D95" w:rsidRPr="006D0791" w:rsidRDefault="00483D95" w:rsidP="00483D95">
      <w:pPr>
        <w:ind w:firstLine="425"/>
        <w:rPr>
          <w:rFonts w:cs="Arial"/>
          <w:lang w:val="es-ES_tradnl"/>
        </w:rPr>
      </w:pPr>
    </w:p>
    <w:tbl>
      <w:tblPr>
        <w:tblStyle w:val="Tablaconcuadrcula"/>
        <w:tblW w:w="4757" w:type="pct"/>
        <w:tblLook w:val="04A0" w:firstRow="1" w:lastRow="0" w:firstColumn="1" w:lastColumn="0" w:noHBand="0" w:noVBand="1"/>
      </w:tblPr>
      <w:tblGrid>
        <w:gridCol w:w="4815"/>
        <w:gridCol w:w="993"/>
        <w:gridCol w:w="2267"/>
      </w:tblGrid>
      <w:tr w:rsidR="00CA302A" w:rsidRPr="00BD0510" w14:paraId="120ECF0D" w14:textId="77777777" w:rsidTr="00483D95">
        <w:tc>
          <w:tcPr>
            <w:tcW w:w="2981" w:type="pct"/>
            <w:shd w:val="clear" w:color="auto" w:fill="auto"/>
          </w:tcPr>
          <w:p w14:paraId="35790F5D" w14:textId="77777777" w:rsidR="00CA302A" w:rsidRPr="00C9092F" w:rsidRDefault="00CA302A" w:rsidP="00483D95">
            <w:pPr>
              <w:rPr>
                <w:b/>
                <w:bCs/>
              </w:rPr>
            </w:pPr>
            <w:r w:rsidRPr="00C9092F">
              <w:rPr>
                <w:b/>
                <w:bCs/>
              </w:rPr>
              <w:lastRenderedPageBreak/>
              <w:t>RESULTADO DE APRENDIZAJE</w:t>
            </w:r>
          </w:p>
        </w:tc>
        <w:tc>
          <w:tcPr>
            <w:tcW w:w="615" w:type="pct"/>
            <w:shd w:val="clear" w:color="auto" w:fill="auto"/>
          </w:tcPr>
          <w:p w14:paraId="004F38E2" w14:textId="77777777" w:rsidR="00CA302A" w:rsidRPr="00C9092F" w:rsidRDefault="00CA302A" w:rsidP="00483D95">
            <w:pPr>
              <w:rPr>
                <w:b/>
                <w:bCs/>
              </w:rPr>
            </w:pPr>
            <w:r w:rsidRPr="00C9092F">
              <w:rPr>
                <w:b/>
                <w:bCs/>
              </w:rPr>
              <w:t>U.T.</w:t>
            </w:r>
          </w:p>
        </w:tc>
        <w:tc>
          <w:tcPr>
            <w:tcW w:w="1404" w:type="pct"/>
            <w:shd w:val="clear" w:color="auto" w:fill="auto"/>
          </w:tcPr>
          <w:p w14:paraId="7A45DE43" w14:textId="33F96F2E" w:rsidR="00CA302A" w:rsidRDefault="00CA302A" w:rsidP="00483D95">
            <w:pPr>
              <w:rPr>
                <w:b/>
                <w:bCs/>
              </w:rPr>
            </w:pPr>
            <w:r w:rsidRPr="00C9092F">
              <w:rPr>
                <w:b/>
                <w:bCs/>
              </w:rPr>
              <w:t>% ASIGNADO A CADA R.A.</w:t>
            </w:r>
          </w:p>
          <w:p w14:paraId="656C97F7" w14:textId="77777777" w:rsidR="00CA302A" w:rsidRPr="00C9092F" w:rsidRDefault="00CA302A" w:rsidP="00483D95">
            <w:pPr>
              <w:rPr>
                <w:b/>
                <w:bCs/>
              </w:rPr>
            </w:pPr>
            <w:r w:rsidRPr="00C9092F">
              <w:rPr>
                <w:b/>
                <w:bCs/>
              </w:rPr>
              <w:t>(SOBRE UN 100%)</w:t>
            </w:r>
          </w:p>
        </w:tc>
      </w:tr>
      <w:tr w:rsidR="00CA302A" w:rsidRPr="00BD0510" w14:paraId="5D64DCD7" w14:textId="77777777" w:rsidTr="00483D95">
        <w:tc>
          <w:tcPr>
            <w:tcW w:w="2981" w:type="pct"/>
          </w:tcPr>
          <w:p w14:paraId="5D29E3E9" w14:textId="77777777" w:rsidR="00CA302A" w:rsidRDefault="00CA302A" w:rsidP="00483D95">
            <w:pPr>
              <w:rPr>
                <w:rFonts w:cs="ArialMT"/>
              </w:rPr>
            </w:pPr>
            <w:r w:rsidRPr="00BD0510">
              <w:rPr>
                <w:rFonts w:cs="ArialMT"/>
              </w:rPr>
              <w:t>R.A. 1.</w:t>
            </w:r>
          </w:p>
          <w:p w14:paraId="066CE349" w14:textId="7628715E" w:rsidR="00CA302A" w:rsidRPr="00483D95" w:rsidRDefault="0025796E" w:rsidP="00483D95">
            <w:pPr>
              <w:rPr>
                <w:rFonts w:cs="ArialMT"/>
              </w:rPr>
            </w:pPr>
            <w:r w:rsidRPr="0025796E">
              <w:rPr>
                <w:rFonts w:cs="ArialMT"/>
              </w:rPr>
              <w:t xml:space="preserve">Determina herramientas de </w:t>
            </w:r>
            <w:proofErr w:type="spellStart"/>
            <w:r w:rsidRPr="0025796E">
              <w:rPr>
                <w:rFonts w:cs="ArialMT"/>
              </w:rPr>
              <w:t>monitorización</w:t>
            </w:r>
            <w:proofErr w:type="spellEnd"/>
            <w:r w:rsidRPr="0025796E">
              <w:rPr>
                <w:rFonts w:cs="ArialMT"/>
              </w:rPr>
              <w:t xml:space="preserve"> para detectar vulnerabilidades aplicando </w:t>
            </w:r>
            <w:proofErr w:type="spellStart"/>
            <w:r w:rsidRPr="0025796E">
              <w:rPr>
                <w:rFonts w:cs="ArialMT"/>
              </w:rPr>
              <w:t>técnicas</w:t>
            </w:r>
            <w:proofErr w:type="spellEnd"/>
            <w:r w:rsidRPr="0025796E">
              <w:rPr>
                <w:rFonts w:cs="ArialMT"/>
              </w:rPr>
              <w:t xml:space="preserve"> de hacking </w:t>
            </w:r>
            <w:proofErr w:type="spellStart"/>
            <w:r w:rsidRPr="0025796E">
              <w:rPr>
                <w:rFonts w:cs="ArialMT"/>
              </w:rPr>
              <w:t>ético</w:t>
            </w:r>
            <w:proofErr w:type="spellEnd"/>
            <w:r w:rsidRPr="0025796E">
              <w:rPr>
                <w:rFonts w:cs="ArialMT"/>
              </w:rPr>
              <w:t>.</w:t>
            </w:r>
          </w:p>
        </w:tc>
        <w:tc>
          <w:tcPr>
            <w:tcW w:w="615" w:type="pct"/>
            <w:shd w:val="clear" w:color="auto" w:fill="DEEAF6" w:themeFill="accent5" w:themeFillTint="33"/>
          </w:tcPr>
          <w:p w14:paraId="1A581E98" w14:textId="77777777" w:rsidR="00CA302A" w:rsidRPr="00BD0510" w:rsidRDefault="00CA302A" w:rsidP="00483D95">
            <w:r w:rsidRPr="00BD0510">
              <w:t>1</w:t>
            </w:r>
          </w:p>
        </w:tc>
        <w:tc>
          <w:tcPr>
            <w:tcW w:w="1404" w:type="pct"/>
            <w:shd w:val="clear" w:color="auto" w:fill="DEEAF6" w:themeFill="accent5" w:themeFillTint="33"/>
          </w:tcPr>
          <w:p w14:paraId="419A741A" w14:textId="2E623A5B" w:rsidR="00CA302A" w:rsidRPr="00BD0510" w:rsidRDefault="0025796E" w:rsidP="00483D95">
            <w:r>
              <w:t>2</w:t>
            </w:r>
            <w:r w:rsidR="00CA302A">
              <w:t>0</w:t>
            </w:r>
            <w:r w:rsidR="00CA302A" w:rsidRPr="00BD0510">
              <w:t>%</w:t>
            </w:r>
          </w:p>
        </w:tc>
      </w:tr>
      <w:tr w:rsidR="00CA302A" w:rsidRPr="00BD0510" w14:paraId="4A857B4F" w14:textId="77777777" w:rsidTr="00483D95">
        <w:tc>
          <w:tcPr>
            <w:tcW w:w="2981" w:type="pct"/>
          </w:tcPr>
          <w:p w14:paraId="01790451" w14:textId="032AF502" w:rsidR="00CA302A" w:rsidRDefault="00CA302A" w:rsidP="00483D95">
            <w:pPr>
              <w:rPr>
                <w:rFonts w:cs="Arial"/>
              </w:rPr>
            </w:pPr>
            <w:r w:rsidRPr="00BD0510">
              <w:rPr>
                <w:rFonts w:cs="Arial"/>
              </w:rPr>
              <w:t>R.A. 2.</w:t>
            </w:r>
          </w:p>
          <w:p w14:paraId="203EC297" w14:textId="6C8C58AA" w:rsidR="00CA302A" w:rsidRPr="00BD0510" w:rsidRDefault="0025796E" w:rsidP="00483D95">
            <w:r w:rsidRPr="0025796E">
              <w:t xml:space="preserve">Ataca y defiende en entornos de prueba, comunicaciones </w:t>
            </w:r>
            <w:proofErr w:type="spellStart"/>
            <w:r w:rsidRPr="0025796E">
              <w:t>inalámbricas</w:t>
            </w:r>
            <w:proofErr w:type="spellEnd"/>
            <w:r w:rsidRPr="0025796E">
              <w:t xml:space="preserve"> consiguiendo acceso a redes para demostrar sus vulnerabilidades</w:t>
            </w:r>
          </w:p>
        </w:tc>
        <w:tc>
          <w:tcPr>
            <w:tcW w:w="615" w:type="pct"/>
            <w:shd w:val="clear" w:color="auto" w:fill="DEEAF6" w:themeFill="accent5" w:themeFillTint="33"/>
          </w:tcPr>
          <w:p w14:paraId="22BBEE11" w14:textId="77777777" w:rsidR="00CA302A" w:rsidRPr="00BD0510" w:rsidRDefault="00CA302A" w:rsidP="00483D95">
            <w:r w:rsidRPr="00BD0510">
              <w:t>2</w:t>
            </w:r>
          </w:p>
        </w:tc>
        <w:tc>
          <w:tcPr>
            <w:tcW w:w="1404" w:type="pct"/>
            <w:shd w:val="clear" w:color="auto" w:fill="DEEAF6" w:themeFill="accent5" w:themeFillTint="33"/>
          </w:tcPr>
          <w:p w14:paraId="1EA8BDC9" w14:textId="14174E0C" w:rsidR="00CA302A" w:rsidRPr="00BD0510" w:rsidRDefault="0025796E" w:rsidP="00483D95">
            <w:r>
              <w:t>2</w:t>
            </w:r>
            <w:r w:rsidR="00CA302A">
              <w:t>0</w:t>
            </w:r>
            <w:r w:rsidR="00CA302A" w:rsidRPr="00BD0510">
              <w:t>%</w:t>
            </w:r>
          </w:p>
        </w:tc>
      </w:tr>
      <w:tr w:rsidR="00CA302A" w:rsidRPr="00BD0510" w14:paraId="02090607" w14:textId="77777777" w:rsidTr="00483D95">
        <w:tc>
          <w:tcPr>
            <w:tcW w:w="2981" w:type="pct"/>
          </w:tcPr>
          <w:p w14:paraId="7DD85921" w14:textId="2205F12B" w:rsidR="00CA302A" w:rsidRDefault="00CA302A" w:rsidP="00483D95">
            <w:pPr>
              <w:rPr>
                <w:rFonts w:cs="Arial"/>
              </w:rPr>
            </w:pPr>
            <w:r w:rsidRPr="00BD0510">
              <w:rPr>
                <w:rFonts w:cs="Arial"/>
              </w:rPr>
              <w:t>R.A. 3.</w:t>
            </w:r>
          </w:p>
          <w:p w14:paraId="08B0A4CB" w14:textId="1DBF582F" w:rsidR="00CA302A" w:rsidRPr="00BD0510" w:rsidRDefault="0025796E" w:rsidP="00483D95">
            <w:pPr>
              <w:rPr>
                <w:rFonts w:cs="Arial"/>
              </w:rPr>
            </w:pPr>
            <w:r w:rsidRPr="0025796E">
              <w:rPr>
                <w:rFonts w:cs="Arial"/>
              </w:rPr>
              <w:t xml:space="preserve">Ataca y defiende en entornos de prueba, redes y sistemas consiguiendo acceso a </w:t>
            </w:r>
            <w:proofErr w:type="spellStart"/>
            <w:r w:rsidRPr="0025796E">
              <w:rPr>
                <w:rFonts w:cs="Arial"/>
              </w:rPr>
              <w:t>información</w:t>
            </w:r>
            <w:proofErr w:type="spellEnd"/>
            <w:r w:rsidRPr="0025796E">
              <w:rPr>
                <w:rFonts w:cs="Arial"/>
              </w:rPr>
              <w:t xml:space="preserve"> y sistemas de terceros.</w:t>
            </w:r>
          </w:p>
        </w:tc>
        <w:tc>
          <w:tcPr>
            <w:tcW w:w="615" w:type="pct"/>
            <w:shd w:val="clear" w:color="auto" w:fill="DEEAF6" w:themeFill="accent5" w:themeFillTint="33"/>
          </w:tcPr>
          <w:p w14:paraId="7BAEAAD4" w14:textId="77777777" w:rsidR="00CA302A" w:rsidRPr="00BD0510" w:rsidRDefault="00CA302A" w:rsidP="00483D95">
            <w:r w:rsidRPr="00BD0510">
              <w:t>3</w:t>
            </w:r>
          </w:p>
        </w:tc>
        <w:tc>
          <w:tcPr>
            <w:tcW w:w="1404" w:type="pct"/>
            <w:shd w:val="clear" w:color="auto" w:fill="DEEAF6" w:themeFill="accent5" w:themeFillTint="33"/>
          </w:tcPr>
          <w:p w14:paraId="76DC71DC" w14:textId="42754CB1" w:rsidR="00CA302A" w:rsidRPr="00BD0510" w:rsidRDefault="0025796E" w:rsidP="00483D95">
            <w:r>
              <w:t>2</w:t>
            </w:r>
            <w:r w:rsidR="00CA302A">
              <w:t>0</w:t>
            </w:r>
            <w:r w:rsidR="00CA302A" w:rsidRPr="00BD0510">
              <w:t>%</w:t>
            </w:r>
          </w:p>
        </w:tc>
      </w:tr>
      <w:tr w:rsidR="00CA302A" w:rsidRPr="00BD0510" w14:paraId="5E61FB87" w14:textId="77777777" w:rsidTr="00483D95">
        <w:tc>
          <w:tcPr>
            <w:tcW w:w="2981" w:type="pct"/>
          </w:tcPr>
          <w:p w14:paraId="2F38ECD2" w14:textId="5901D53D" w:rsidR="00CA302A" w:rsidRDefault="00CA302A" w:rsidP="00483D95">
            <w:pPr>
              <w:rPr>
                <w:rFonts w:cs="Arial"/>
              </w:rPr>
            </w:pPr>
            <w:r w:rsidRPr="00BD0510">
              <w:rPr>
                <w:rFonts w:cs="Arial"/>
              </w:rPr>
              <w:t>R.A. 4.</w:t>
            </w:r>
          </w:p>
          <w:p w14:paraId="3B95988D" w14:textId="5C5E55B4" w:rsidR="00CA302A" w:rsidRPr="00BD0510" w:rsidRDefault="0025796E" w:rsidP="00483D95">
            <w:pPr>
              <w:rPr>
                <w:rFonts w:cs="Arial"/>
              </w:rPr>
            </w:pPr>
            <w:r w:rsidRPr="0025796E">
              <w:rPr>
                <w:rFonts w:cs="Arial"/>
              </w:rPr>
              <w:t>Consolida y utiliza sistemas comprometidos garantizando accesos futuros</w:t>
            </w:r>
            <w:r>
              <w:rPr>
                <w:rFonts w:cs="Arial"/>
              </w:rPr>
              <w:t>.</w:t>
            </w:r>
          </w:p>
        </w:tc>
        <w:tc>
          <w:tcPr>
            <w:tcW w:w="615" w:type="pct"/>
            <w:shd w:val="clear" w:color="auto" w:fill="DEEAF6" w:themeFill="accent5" w:themeFillTint="33"/>
          </w:tcPr>
          <w:p w14:paraId="750A3EBF" w14:textId="77777777" w:rsidR="00CA302A" w:rsidRPr="00BD0510" w:rsidRDefault="00CA302A" w:rsidP="00483D95">
            <w:r w:rsidRPr="00BD0510">
              <w:t>4</w:t>
            </w:r>
          </w:p>
        </w:tc>
        <w:tc>
          <w:tcPr>
            <w:tcW w:w="1404" w:type="pct"/>
            <w:shd w:val="clear" w:color="auto" w:fill="DEEAF6" w:themeFill="accent5" w:themeFillTint="33"/>
          </w:tcPr>
          <w:p w14:paraId="25162A50" w14:textId="77777777" w:rsidR="00CA302A" w:rsidRPr="00BD0510" w:rsidRDefault="00CA302A" w:rsidP="00483D95">
            <w:r w:rsidRPr="00BD0510">
              <w:t>1</w:t>
            </w:r>
            <w:r>
              <w:t>0</w:t>
            </w:r>
            <w:r w:rsidRPr="00BD0510">
              <w:t>%</w:t>
            </w:r>
          </w:p>
        </w:tc>
      </w:tr>
      <w:tr w:rsidR="00CA302A" w:rsidRPr="00BD0510" w14:paraId="272C3A76" w14:textId="77777777" w:rsidTr="00483D95">
        <w:tc>
          <w:tcPr>
            <w:tcW w:w="2981" w:type="pct"/>
          </w:tcPr>
          <w:p w14:paraId="6FFB5A48" w14:textId="365E751B" w:rsidR="00CA302A" w:rsidRDefault="00CA302A" w:rsidP="00483D95">
            <w:pPr>
              <w:rPr>
                <w:rFonts w:cs="Arial"/>
              </w:rPr>
            </w:pPr>
            <w:r w:rsidRPr="00BD0510">
              <w:rPr>
                <w:rFonts w:cs="Arial"/>
              </w:rPr>
              <w:t>R.A. 5.</w:t>
            </w:r>
          </w:p>
          <w:p w14:paraId="1F1660B4" w14:textId="617F7311" w:rsidR="00CA302A" w:rsidRPr="00BD0510" w:rsidRDefault="0025796E" w:rsidP="00483D95">
            <w:r w:rsidRPr="0025796E">
              <w:t>Ataca y defiende en entornos de prueba, aplicaciones web consiguiendo acceso a datos o funcionalidades no autorizadas</w:t>
            </w:r>
          </w:p>
        </w:tc>
        <w:tc>
          <w:tcPr>
            <w:tcW w:w="615" w:type="pct"/>
            <w:shd w:val="clear" w:color="auto" w:fill="FFF2CC" w:themeFill="accent4" w:themeFillTint="33"/>
          </w:tcPr>
          <w:p w14:paraId="3888AB83" w14:textId="77777777" w:rsidR="00CA302A" w:rsidRPr="00BD0510" w:rsidRDefault="00CA302A" w:rsidP="00483D95">
            <w:r w:rsidRPr="00BD0510">
              <w:t>5</w:t>
            </w:r>
          </w:p>
        </w:tc>
        <w:tc>
          <w:tcPr>
            <w:tcW w:w="1404" w:type="pct"/>
            <w:shd w:val="clear" w:color="auto" w:fill="FFF2CC" w:themeFill="accent4" w:themeFillTint="33"/>
          </w:tcPr>
          <w:p w14:paraId="6E289D6C" w14:textId="77777777" w:rsidR="00CA302A" w:rsidRPr="00BD0510" w:rsidRDefault="00CA302A" w:rsidP="00483D95">
            <w:r>
              <w:t>30</w:t>
            </w:r>
            <w:r w:rsidRPr="00BD0510">
              <w:t>%</w:t>
            </w:r>
          </w:p>
        </w:tc>
      </w:tr>
      <w:tr w:rsidR="00CA302A" w:rsidRPr="00BD0510" w14:paraId="65B2C980" w14:textId="77777777" w:rsidTr="00483D95">
        <w:tc>
          <w:tcPr>
            <w:tcW w:w="2981" w:type="pct"/>
          </w:tcPr>
          <w:p w14:paraId="66CB8F04" w14:textId="77777777" w:rsidR="00CA302A" w:rsidRPr="00BD0510" w:rsidRDefault="00CA302A" w:rsidP="00483D95"/>
        </w:tc>
        <w:tc>
          <w:tcPr>
            <w:tcW w:w="615" w:type="pct"/>
            <w:shd w:val="clear" w:color="auto" w:fill="FFF2CC" w:themeFill="accent4" w:themeFillTint="33"/>
          </w:tcPr>
          <w:p w14:paraId="2A3A779A" w14:textId="77777777" w:rsidR="00CA302A" w:rsidRPr="00BD0510" w:rsidRDefault="00CA302A" w:rsidP="00483D95">
            <w:r>
              <w:t>TOTAL</w:t>
            </w:r>
          </w:p>
        </w:tc>
        <w:tc>
          <w:tcPr>
            <w:tcW w:w="1404" w:type="pct"/>
            <w:shd w:val="clear" w:color="auto" w:fill="FFF2CC" w:themeFill="accent4" w:themeFillTint="33"/>
          </w:tcPr>
          <w:p w14:paraId="200B1F0C" w14:textId="77777777" w:rsidR="00CA302A" w:rsidRPr="00BD0510" w:rsidRDefault="00CA302A" w:rsidP="00483D95">
            <w:r>
              <w:t>100%</w:t>
            </w:r>
          </w:p>
        </w:tc>
      </w:tr>
    </w:tbl>
    <w:p w14:paraId="4107F5FB" w14:textId="77777777" w:rsidR="00CA302A" w:rsidRDefault="00CA302A" w:rsidP="00483D95"/>
    <w:p w14:paraId="2DA4B8BB" w14:textId="77777777" w:rsidR="00CA302A" w:rsidRDefault="00CA302A" w:rsidP="00483D95">
      <w:pPr>
        <w:ind w:firstLine="576"/>
        <w:rPr>
          <w:rFonts w:cs="Arial"/>
          <w:b/>
        </w:rPr>
      </w:pPr>
      <w:r w:rsidRPr="00E0492A">
        <w:rPr>
          <w:rFonts w:cs="Arial"/>
          <w:b/>
        </w:rPr>
        <w:t>Criterios de calificación</w:t>
      </w:r>
    </w:p>
    <w:p w14:paraId="234FA425" w14:textId="3A2D826B" w:rsidR="00CA302A" w:rsidRDefault="00CA302A" w:rsidP="00483D95">
      <w:pPr>
        <w:ind w:firstLine="708"/>
        <w:rPr>
          <w:b/>
        </w:rPr>
      </w:pPr>
      <w:r>
        <w:t>Para realizar la evaluación de los criterios de evaluación mencionados en la tabla anterior, se disponen de una serie de instrumentos de evaluación para evaluar cada criterio</w:t>
      </w:r>
      <w:r w:rsidRPr="005215C3">
        <w:t xml:space="preserve">. Así se utilizarán habitualmente prácticas que evaluarán un conjunto de criterios y puntualmente pruebas escritas o exámenes. </w:t>
      </w:r>
      <w:r w:rsidRPr="005215C3">
        <w:rPr>
          <w:b/>
        </w:rPr>
        <w:t>Las pruebas escritas se realizarán al final de cada tri</w:t>
      </w:r>
      <w:r w:rsidRPr="00B12FCA">
        <w:rPr>
          <w:b/>
        </w:rPr>
        <w:t>mestre en una fecha determinada y los al</w:t>
      </w:r>
      <w:r>
        <w:rPr>
          <w:b/>
        </w:rPr>
        <w:t>umnos sabrán en todo momento qué</w:t>
      </w:r>
      <w:r w:rsidRPr="00B12FCA">
        <w:rPr>
          <w:b/>
        </w:rPr>
        <w:t xml:space="preserve"> criterios de evaluación se van a incluir en la prueba escrita.</w:t>
      </w:r>
    </w:p>
    <w:p w14:paraId="4158DA7C" w14:textId="77777777" w:rsidR="00CA302A" w:rsidRDefault="00CA302A" w:rsidP="00483D95">
      <w:pPr>
        <w:ind w:firstLine="708"/>
        <w:rPr>
          <w:b/>
        </w:rPr>
      </w:pPr>
    </w:p>
    <w:p w14:paraId="2F0A05D3" w14:textId="77777777" w:rsidR="00CA302A" w:rsidRDefault="00CA302A" w:rsidP="00483D95">
      <w:pPr>
        <w:ind w:firstLine="708"/>
        <w:rPr>
          <w:b/>
        </w:rPr>
      </w:pPr>
    </w:p>
    <w:tbl>
      <w:tblPr>
        <w:tblStyle w:val="Tabladecuadrcula4"/>
        <w:tblW w:w="0" w:type="auto"/>
        <w:tblInd w:w="708" w:type="dxa"/>
        <w:tblLook w:val="04A0" w:firstRow="1" w:lastRow="0" w:firstColumn="1" w:lastColumn="0" w:noHBand="0" w:noVBand="1"/>
      </w:tblPr>
      <w:tblGrid>
        <w:gridCol w:w="5496"/>
        <w:gridCol w:w="1444"/>
      </w:tblGrid>
      <w:tr w:rsidR="00CA302A" w:rsidRPr="009241DA" w14:paraId="54FF38EA" w14:textId="77777777" w:rsidTr="00D575D8">
        <w:trPr>
          <w:cnfStyle w:val="100000000000" w:firstRow="1" w:lastRow="0" w:firstColumn="0" w:lastColumn="0" w:oddVBand="0" w:evenVBand="0" w:oddHBand="0" w:evenHBand="0" w:firstRowFirstColumn="0" w:firstRowLastColumn="0" w:lastRowFirstColumn="0" w:lastRowLastColumn="0"/>
          <w:trHeight w:val="328"/>
        </w:trPr>
        <w:tc>
          <w:tcPr>
            <w:cnfStyle w:val="001000000000" w:firstRow="0" w:lastRow="0" w:firstColumn="1" w:lastColumn="0" w:oddVBand="0" w:evenVBand="0" w:oddHBand="0" w:evenHBand="0" w:firstRowFirstColumn="0" w:firstRowLastColumn="0" w:lastRowFirstColumn="0" w:lastRowLastColumn="0"/>
            <w:tcW w:w="5496" w:type="dxa"/>
            <w:tcBorders>
              <w:right w:val="single" w:sz="4" w:space="0" w:color="000000" w:themeColor="text1"/>
            </w:tcBorders>
            <w:shd w:val="clear" w:color="auto" w:fill="F2F2F2" w:themeFill="background1" w:themeFillShade="F2"/>
          </w:tcPr>
          <w:p w14:paraId="2E8E321D" w14:textId="7EF10B8C" w:rsidR="00CA302A" w:rsidRPr="009241DA" w:rsidRDefault="00CA302A" w:rsidP="00483D95">
            <w:pPr>
              <w:spacing w:after="60"/>
              <w:rPr>
                <w:color w:val="000000" w:themeColor="text1"/>
                <w:sz w:val="24"/>
                <w:szCs w:val="24"/>
                <w:lang w:val="es-ES_tradnl"/>
              </w:rPr>
            </w:pPr>
            <w:r w:rsidRPr="009241DA">
              <w:rPr>
                <w:color w:val="000000" w:themeColor="text1"/>
                <w:sz w:val="24"/>
                <w:szCs w:val="24"/>
                <w:lang w:val="es-ES_tradnl"/>
              </w:rPr>
              <w:t>Instrumentos de evaluación de cada unidad de trabajo</w:t>
            </w:r>
          </w:p>
        </w:tc>
        <w:tc>
          <w:tcPr>
            <w:tcW w:w="1444" w:type="dxa"/>
            <w:tcBorders>
              <w:left w:val="single" w:sz="4" w:space="0" w:color="000000" w:themeColor="text1"/>
            </w:tcBorders>
            <w:shd w:val="clear" w:color="auto" w:fill="F2F2F2" w:themeFill="background1" w:themeFillShade="F2"/>
          </w:tcPr>
          <w:p w14:paraId="202560CC" w14:textId="77777777" w:rsidR="00CA302A" w:rsidRPr="009241DA" w:rsidRDefault="00CA302A" w:rsidP="00483D95">
            <w:pPr>
              <w:spacing w:after="60"/>
              <w:cnfStyle w:val="100000000000" w:firstRow="1" w:lastRow="0" w:firstColumn="0" w:lastColumn="0" w:oddVBand="0" w:evenVBand="0" w:oddHBand="0" w:evenHBand="0" w:firstRowFirstColumn="0" w:firstRowLastColumn="0" w:lastRowFirstColumn="0" w:lastRowLastColumn="0"/>
              <w:rPr>
                <w:color w:val="000000" w:themeColor="text1"/>
                <w:sz w:val="24"/>
                <w:szCs w:val="24"/>
                <w:lang w:val="es-ES_tradnl"/>
              </w:rPr>
            </w:pPr>
            <w:r w:rsidRPr="009241DA">
              <w:rPr>
                <w:color w:val="000000" w:themeColor="text1"/>
                <w:sz w:val="24"/>
                <w:szCs w:val="24"/>
                <w:lang w:val="es-ES_tradnl"/>
              </w:rPr>
              <w:t>Porcentaje</w:t>
            </w:r>
          </w:p>
        </w:tc>
      </w:tr>
      <w:tr w:rsidR="00CA302A" w:rsidRPr="009241DA" w14:paraId="2A10FBD8" w14:textId="77777777" w:rsidTr="00D575D8">
        <w:trPr>
          <w:cnfStyle w:val="000000100000" w:firstRow="0" w:lastRow="0" w:firstColumn="0" w:lastColumn="0" w:oddVBand="0" w:evenVBand="0" w:oddHBand="1"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5496" w:type="dxa"/>
            <w:tcBorders>
              <w:top w:val="single" w:sz="4" w:space="0" w:color="000000" w:themeColor="text1"/>
            </w:tcBorders>
            <w:shd w:val="clear" w:color="auto" w:fill="auto"/>
          </w:tcPr>
          <w:p w14:paraId="5E375BCC" w14:textId="793249CD" w:rsidR="00CA302A" w:rsidRPr="009241DA" w:rsidRDefault="00CA302A" w:rsidP="00483D95">
            <w:pPr>
              <w:spacing w:after="60"/>
              <w:rPr>
                <w:b w:val="0"/>
                <w:sz w:val="24"/>
                <w:szCs w:val="24"/>
                <w:lang w:val="es-ES_tradnl"/>
              </w:rPr>
            </w:pPr>
            <w:r w:rsidRPr="009241DA">
              <w:rPr>
                <w:b w:val="0"/>
                <w:sz w:val="24"/>
                <w:szCs w:val="24"/>
                <w:lang w:val="es-ES_tradnl"/>
              </w:rPr>
              <w:t>Pruebas realizadas en el trimestre en las cuales el alumno demuestra la correcta asimilación de las materias impartidas.</w:t>
            </w:r>
          </w:p>
        </w:tc>
        <w:tc>
          <w:tcPr>
            <w:tcW w:w="1444" w:type="dxa"/>
            <w:tcBorders>
              <w:top w:val="single" w:sz="4" w:space="0" w:color="000000" w:themeColor="text1"/>
            </w:tcBorders>
            <w:shd w:val="clear" w:color="auto" w:fill="auto"/>
          </w:tcPr>
          <w:p w14:paraId="0CC98571" w14:textId="71E35CF2" w:rsidR="00CA302A" w:rsidRPr="009241DA" w:rsidRDefault="0025796E" w:rsidP="00483D95">
            <w:pPr>
              <w:spacing w:after="60"/>
              <w:cnfStyle w:val="000000100000" w:firstRow="0" w:lastRow="0" w:firstColumn="0" w:lastColumn="0" w:oddVBand="0" w:evenVBand="0" w:oddHBand="1" w:evenHBand="0" w:firstRowFirstColumn="0" w:firstRowLastColumn="0" w:lastRowFirstColumn="0" w:lastRowLastColumn="0"/>
              <w:rPr>
                <w:sz w:val="24"/>
                <w:szCs w:val="24"/>
                <w:lang w:val="es-ES_tradnl"/>
              </w:rPr>
            </w:pPr>
            <w:r>
              <w:rPr>
                <w:sz w:val="24"/>
                <w:szCs w:val="24"/>
                <w:lang w:val="es-ES_tradnl"/>
              </w:rPr>
              <w:t>5</w:t>
            </w:r>
            <w:r w:rsidR="00CA302A" w:rsidRPr="009241DA">
              <w:rPr>
                <w:sz w:val="24"/>
                <w:szCs w:val="24"/>
                <w:lang w:val="es-ES_tradnl"/>
              </w:rPr>
              <w:t>0 %</w:t>
            </w:r>
          </w:p>
        </w:tc>
      </w:tr>
      <w:tr w:rsidR="0025796E" w:rsidRPr="009241DA" w14:paraId="1C14C043" w14:textId="77777777" w:rsidTr="00D575D8">
        <w:trPr>
          <w:trHeight w:val="884"/>
        </w:trPr>
        <w:tc>
          <w:tcPr>
            <w:cnfStyle w:val="001000000000" w:firstRow="0" w:lastRow="0" w:firstColumn="1" w:lastColumn="0" w:oddVBand="0" w:evenVBand="0" w:oddHBand="0" w:evenHBand="0" w:firstRowFirstColumn="0" w:firstRowLastColumn="0" w:lastRowFirstColumn="0" w:lastRowLastColumn="0"/>
            <w:tcW w:w="5496" w:type="dxa"/>
            <w:tcBorders>
              <w:top w:val="single" w:sz="4" w:space="0" w:color="000000" w:themeColor="text1"/>
            </w:tcBorders>
            <w:shd w:val="clear" w:color="auto" w:fill="auto"/>
          </w:tcPr>
          <w:p w14:paraId="14FF24CC" w14:textId="0F41D33F" w:rsidR="0025796E" w:rsidRPr="0025796E" w:rsidRDefault="0025796E" w:rsidP="004101FA">
            <w:pPr>
              <w:spacing w:line="240" w:lineRule="auto"/>
              <w:rPr>
                <w:b w:val="0"/>
                <w:sz w:val="24"/>
                <w:szCs w:val="24"/>
                <w:lang w:val="es-ES_tradnl"/>
              </w:rPr>
            </w:pPr>
            <w:r w:rsidRPr="0025796E">
              <w:rPr>
                <w:b w:val="0"/>
                <w:sz w:val="24"/>
                <w:szCs w:val="24"/>
                <w:lang w:val="es-ES_tradnl"/>
              </w:rPr>
              <w:t>Participación en el día a día</w:t>
            </w:r>
            <w:r>
              <w:rPr>
                <w:b w:val="0"/>
                <w:sz w:val="24"/>
                <w:szCs w:val="24"/>
                <w:lang w:val="es-ES_tradnl"/>
              </w:rPr>
              <w:t>,</w:t>
            </w:r>
            <w:r w:rsidRPr="0025796E">
              <w:rPr>
                <w:b w:val="0"/>
                <w:sz w:val="24"/>
                <w:szCs w:val="24"/>
                <w:lang w:val="es-ES_tradnl"/>
              </w:rPr>
              <w:t xml:space="preserve"> en los foros</w:t>
            </w:r>
          </w:p>
        </w:tc>
        <w:tc>
          <w:tcPr>
            <w:tcW w:w="1444" w:type="dxa"/>
            <w:tcBorders>
              <w:top w:val="single" w:sz="4" w:space="0" w:color="000000" w:themeColor="text1"/>
            </w:tcBorders>
            <w:shd w:val="clear" w:color="auto" w:fill="auto"/>
          </w:tcPr>
          <w:p w14:paraId="1B335A1D" w14:textId="4EC4FFE5" w:rsidR="0025796E" w:rsidRPr="0025796E" w:rsidRDefault="0025796E" w:rsidP="004101FA">
            <w:pPr>
              <w:spacing w:line="240" w:lineRule="auto"/>
              <w:cnfStyle w:val="000000000000" w:firstRow="0" w:lastRow="0" w:firstColumn="0" w:lastColumn="0" w:oddVBand="0" w:evenVBand="0" w:oddHBand="0" w:evenHBand="0" w:firstRowFirstColumn="0" w:firstRowLastColumn="0" w:lastRowFirstColumn="0" w:lastRowLastColumn="0"/>
              <w:rPr>
                <w:bCs/>
                <w:sz w:val="24"/>
                <w:szCs w:val="24"/>
                <w:lang w:val="es-ES_tradnl"/>
              </w:rPr>
            </w:pPr>
            <w:r w:rsidRPr="0025796E">
              <w:rPr>
                <w:bCs/>
                <w:sz w:val="24"/>
                <w:szCs w:val="24"/>
                <w:lang w:val="es-ES_tradnl"/>
              </w:rPr>
              <w:t>10%</w:t>
            </w:r>
          </w:p>
        </w:tc>
      </w:tr>
      <w:tr w:rsidR="00CA302A" w:rsidRPr="009241DA" w14:paraId="611F3BBE" w14:textId="77777777" w:rsidTr="00D575D8">
        <w:trPr>
          <w:cnfStyle w:val="000000100000" w:firstRow="0" w:lastRow="0" w:firstColumn="0" w:lastColumn="0" w:oddVBand="0" w:evenVBand="0" w:oddHBand="1" w:evenHBand="0" w:firstRowFirstColumn="0" w:firstRowLastColumn="0" w:lastRowFirstColumn="0" w:lastRowLastColumn="0"/>
          <w:trHeight w:val="884"/>
        </w:trPr>
        <w:tc>
          <w:tcPr>
            <w:cnfStyle w:val="001000000000" w:firstRow="0" w:lastRow="0" w:firstColumn="1" w:lastColumn="0" w:oddVBand="0" w:evenVBand="0" w:oddHBand="0" w:evenHBand="0" w:firstRowFirstColumn="0" w:firstRowLastColumn="0" w:lastRowFirstColumn="0" w:lastRowLastColumn="0"/>
            <w:tcW w:w="5496" w:type="dxa"/>
            <w:shd w:val="clear" w:color="auto" w:fill="auto"/>
          </w:tcPr>
          <w:p w14:paraId="689A655C" w14:textId="5823BCE2" w:rsidR="00CA302A" w:rsidRPr="009241DA" w:rsidRDefault="00CA302A" w:rsidP="00483D95">
            <w:pPr>
              <w:spacing w:after="60"/>
              <w:rPr>
                <w:b w:val="0"/>
                <w:sz w:val="24"/>
                <w:szCs w:val="24"/>
                <w:lang w:val="es-ES_tradnl"/>
              </w:rPr>
            </w:pPr>
            <w:r w:rsidRPr="009241DA">
              <w:rPr>
                <w:b w:val="0"/>
                <w:sz w:val="24"/>
                <w:szCs w:val="24"/>
                <w:lang w:val="es-ES_tradnl"/>
              </w:rPr>
              <w:t>Actividades de enseñanza-aprendizaje, consistentes en prácticas, ejercicios o trabajos propuestos por el profesor a los alumnos.</w:t>
            </w:r>
          </w:p>
        </w:tc>
        <w:tc>
          <w:tcPr>
            <w:tcW w:w="1444" w:type="dxa"/>
            <w:shd w:val="clear" w:color="auto" w:fill="auto"/>
          </w:tcPr>
          <w:p w14:paraId="062F56BD" w14:textId="77777777" w:rsidR="00CA302A" w:rsidRPr="009241DA" w:rsidRDefault="00CA302A" w:rsidP="00483D95">
            <w:pPr>
              <w:spacing w:after="60"/>
              <w:cnfStyle w:val="000000100000" w:firstRow="0" w:lastRow="0" w:firstColumn="0" w:lastColumn="0" w:oddVBand="0" w:evenVBand="0" w:oddHBand="1" w:evenHBand="0" w:firstRowFirstColumn="0" w:firstRowLastColumn="0" w:lastRowFirstColumn="0" w:lastRowLastColumn="0"/>
              <w:rPr>
                <w:sz w:val="24"/>
                <w:szCs w:val="24"/>
                <w:lang w:val="es-ES_tradnl"/>
              </w:rPr>
            </w:pPr>
            <w:r w:rsidRPr="009241DA">
              <w:rPr>
                <w:sz w:val="24"/>
                <w:szCs w:val="24"/>
                <w:lang w:val="es-ES_tradnl"/>
              </w:rPr>
              <w:t>20 %</w:t>
            </w:r>
          </w:p>
        </w:tc>
      </w:tr>
    </w:tbl>
    <w:p w14:paraId="0643D2E0" w14:textId="77777777" w:rsidR="00CA302A" w:rsidRDefault="00CA302A" w:rsidP="00483D95">
      <w:pPr>
        <w:rPr>
          <w:b/>
        </w:rPr>
      </w:pPr>
    </w:p>
    <w:p w14:paraId="72FD8F99" w14:textId="77777777" w:rsidR="00CA302A" w:rsidRDefault="00CA302A" w:rsidP="00483D95">
      <w:pPr>
        <w:ind w:firstLine="708"/>
      </w:pPr>
      <w:r>
        <w:t>Es conveniente indicar que los criterios de evaluación se van a evaluar a través de una práctica y/o de pruebas escritas. En el caso de que un criterio sea evaluable con dos instrumentos de evaluación se hará una media ponderada en base al porcentaje de los distintos instrumentos de evaluación.</w:t>
      </w:r>
    </w:p>
    <w:p w14:paraId="047AD194" w14:textId="77777777" w:rsidR="00CA302A" w:rsidRDefault="00CA302A" w:rsidP="00483D95">
      <w:pPr>
        <w:ind w:firstLine="708"/>
      </w:pPr>
    </w:p>
    <w:p w14:paraId="76C6CAF1" w14:textId="6B876D7B" w:rsidR="00CA302A" w:rsidRPr="00BD2ED9" w:rsidRDefault="00CA302A" w:rsidP="00483D95">
      <w:pPr>
        <w:ind w:firstLine="708"/>
      </w:pPr>
      <w:r>
        <w:t>Durante el desarrollo de la unidad de trabajo correspondiente se le indicara al alumno los criterios de evaluación asociados a esa unidad de trabajo. Además, se indicará el instrumento o instrumentos (examen o pr</w:t>
      </w:r>
      <w:r w:rsidR="004101FA">
        <w:t>á</w:t>
      </w:r>
      <w:r>
        <w:t>ctica) que se va a emplear para evaluar dicho criterio de evaluación.</w:t>
      </w:r>
    </w:p>
    <w:p w14:paraId="436477E3" w14:textId="77777777" w:rsidR="00CA302A" w:rsidRDefault="00CA302A" w:rsidP="00483D95">
      <w:pPr>
        <w:rPr>
          <w:b/>
        </w:rPr>
      </w:pPr>
    </w:p>
    <w:p w14:paraId="00580E85" w14:textId="47DFCA0F" w:rsidR="00CA302A" w:rsidRPr="00BD2ED9" w:rsidRDefault="00CA302A" w:rsidP="00483D95">
      <w:pPr>
        <w:rPr>
          <w:bCs/>
        </w:rPr>
      </w:pPr>
      <w:r>
        <w:rPr>
          <w:bCs/>
        </w:rPr>
        <w:t>Para realizar la calificación del alumno, se tendrá en cuenta el peso de cada unidad de trabajo mostrado anteriormente, realizando una media ponderada en base al peso de cada unidad de trabajo.</w:t>
      </w:r>
    </w:p>
    <w:p w14:paraId="4D31A9A1" w14:textId="77777777" w:rsidR="00CA302A" w:rsidRDefault="00CA302A" w:rsidP="00483D95">
      <w:pPr>
        <w:rPr>
          <w:b/>
        </w:rPr>
      </w:pPr>
    </w:p>
    <w:p w14:paraId="054570DE" w14:textId="77777777" w:rsidR="00CA302A" w:rsidRDefault="00CA302A" w:rsidP="00483D95">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rPr>
          <w:b/>
        </w:rPr>
      </w:pPr>
      <w:r w:rsidRPr="002E4C4E">
        <w:rPr>
          <w:b/>
        </w:rPr>
        <w:t>IMPORTANTE:</w:t>
      </w:r>
    </w:p>
    <w:p w14:paraId="54079B4F" w14:textId="77777777" w:rsidR="00CA302A" w:rsidRDefault="00CA302A" w:rsidP="00483D95">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rPr>
          <w:b/>
        </w:rPr>
      </w:pPr>
    </w:p>
    <w:p w14:paraId="42DE1B69" w14:textId="77777777" w:rsidR="00CA302A" w:rsidRDefault="00CA302A" w:rsidP="00483D95">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rPr>
          <w:b/>
        </w:rPr>
      </w:pPr>
      <w:r>
        <w:rPr>
          <w:b/>
        </w:rPr>
        <w:lastRenderedPageBreak/>
        <w:t>PARA APROBAR CADA TRIMESTRE HAY QUE OBTENER UNA CALIFICACIÓN NUMÉRICA DE 5 O SUPERIOR, SIENDO ADEMÁS OBLIGATORIO LA ENTREGA DE TODOS LOS TRABAJOS ENCOMENDADOS POR EL PROFESOR.</w:t>
      </w:r>
    </w:p>
    <w:p w14:paraId="5DCE72B2" w14:textId="77777777" w:rsidR="00CA302A" w:rsidRDefault="00CA302A" w:rsidP="00483D95">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rPr>
          <w:b/>
        </w:rPr>
      </w:pPr>
    </w:p>
    <w:p w14:paraId="5412F18D" w14:textId="77777777" w:rsidR="00CA302A" w:rsidRDefault="00CA302A" w:rsidP="00483D95">
      <w:pPr>
        <w:rPr>
          <w:b/>
        </w:rPr>
      </w:pPr>
    </w:p>
    <w:p w14:paraId="75C994B9" w14:textId="77777777" w:rsidR="00CA302A" w:rsidRPr="00CA302A" w:rsidRDefault="00CA302A" w:rsidP="00483D95">
      <w:pPr>
        <w:rPr>
          <w:b/>
          <w:bCs/>
        </w:rPr>
      </w:pPr>
      <w:r w:rsidRPr="00CA302A">
        <w:rPr>
          <w:b/>
          <w:bCs/>
        </w:rPr>
        <w:t>Para aquellos alumnos que no hayan podido entregar los trabajos en el periodo indicado se abrirá un plazo (indicado con antelación suficiente) dónde podrán entregar las prácticas pendientes. La calificación de estos trabajos será de APTO o NO APTO.</w:t>
      </w:r>
    </w:p>
    <w:p w14:paraId="515B69A1" w14:textId="77777777" w:rsidR="00CA302A" w:rsidRDefault="00CA302A" w:rsidP="00483D95"/>
    <w:p w14:paraId="3AF01909" w14:textId="6F578F5E" w:rsidR="00CA302A" w:rsidRDefault="00CA302A" w:rsidP="00483D95">
      <w:r w:rsidRPr="00C9092F">
        <w:rPr>
          <w:b/>
          <w:bCs/>
        </w:rPr>
        <w:t xml:space="preserve">Es requisito indispensable para la superación del módulo que el alumno supere cada </w:t>
      </w:r>
      <w:r>
        <w:rPr>
          <w:b/>
          <w:bCs/>
        </w:rPr>
        <w:t xml:space="preserve">de los criterios de evaluación asociados a cada </w:t>
      </w:r>
      <w:r w:rsidRPr="00C9092F">
        <w:rPr>
          <w:b/>
          <w:bCs/>
        </w:rPr>
        <w:t>uno de</w:t>
      </w:r>
      <w:r>
        <w:rPr>
          <w:b/>
          <w:bCs/>
        </w:rPr>
        <w:t xml:space="preserve"> los</w:t>
      </w:r>
      <w:r w:rsidRPr="00C9092F">
        <w:rPr>
          <w:b/>
          <w:bCs/>
        </w:rPr>
        <w:t xml:space="preserve"> resultado</w:t>
      </w:r>
      <w:r>
        <w:rPr>
          <w:b/>
          <w:bCs/>
        </w:rPr>
        <w:t>s</w:t>
      </w:r>
      <w:r w:rsidRPr="00C9092F">
        <w:rPr>
          <w:b/>
          <w:bCs/>
        </w:rPr>
        <w:t xml:space="preserve"> de aprendizaje del módulo de acuerdo con los criterios de calificación establecidos.</w:t>
      </w:r>
    </w:p>
    <w:p w14:paraId="380F6B03" w14:textId="77777777" w:rsidR="00CA302A" w:rsidRDefault="00CA302A" w:rsidP="00483D95"/>
    <w:p w14:paraId="42892735" w14:textId="77777777" w:rsidR="00CA302A" w:rsidRDefault="00CA302A" w:rsidP="00483D95">
      <w:pPr>
        <w:pBdr>
          <w:top w:val="single" w:sz="12" w:space="1" w:color="538135" w:themeColor="accent6" w:themeShade="BF"/>
          <w:left w:val="single" w:sz="12" w:space="4" w:color="538135" w:themeColor="accent6" w:themeShade="BF"/>
          <w:bottom w:val="single" w:sz="12" w:space="1" w:color="538135" w:themeColor="accent6" w:themeShade="BF"/>
          <w:right w:val="single" w:sz="12" w:space="4" w:color="538135" w:themeColor="accent6" w:themeShade="BF"/>
        </w:pBdr>
      </w:pPr>
      <w:r>
        <w:t>PARA APROBAR EL MODULO COMPLETO HAY QUE OBTENER UNA CALIFICACIÓN NUMERICA DE 5 PUNTOS O SUPERIOR.</w:t>
      </w:r>
    </w:p>
    <w:p w14:paraId="22B20348" w14:textId="77777777" w:rsidR="00CA302A" w:rsidRPr="00E0492A" w:rsidRDefault="00CA302A" w:rsidP="00483D95">
      <w:pPr>
        <w:ind w:firstLine="576"/>
        <w:rPr>
          <w:rFonts w:cs="Arial"/>
        </w:rPr>
      </w:pPr>
    </w:p>
    <w:sectPr w:rsidR="00CA302A" w:rsidRPr="00E0492A" w:rsidSect="00856DE4">
      <w:headerReference w:type="defaul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B7218D" w14:textId="77777777" w:rsidR="001E0708" w:rsidRDefault="001E0708" w:rsidP="00470F26">
      <w:pPr>
        <w:spacing w:line="240" w:lineRule="auto"/>
      </w:pPr>
      <w:r>
        <w:separator/>
      </w:r>
    </w:p>
  </w:endnote>
  <w:endnote w:type="continuationSeparator" w:id="0">
    <w:p w14:paraId="37D76C91" w14:textId="77777777" w:rsidR="001E0708" w:rsidRDefault="001E0708" w:rsidP="00470F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MT">
    <w:altName w:val="Arial"/>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5C860" w14:textId="77777777" w:rsidR="001E0708" w:rsidRDefault="001E0708" w:rsidP="00470F26">
      <w:pPr>
        <w:spacing w:line="240" w:lineRule="auto"/>
      </w:pPr>
      <w:r>
        <w:separator/>
      </w:r>
    </w:p>
  </w:footnote>
  <w:footnote w:type="continuationSeparator" w:id="0">
    <w:p w14:paraId="38FF9B0F" w14:textId="77777777" w:rsidR="001E0708" w:rsidRDefault="001E0708" w:rsidP="00470F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34"/>
      <w:gridCol w:w="6130"/>
    </w:tblGrid>
    <w:tr w:rsidR="00470F26" w:rsidRPr="00AE5743" w14:paraId="3CD3F3AD" w14:textId="77777777" w:rsidTr="00B61A95">
      <w:trPr>
        <w:trHeight w:val="1250"/>
      </w:trPr>
      <w:tc>
        <w:tcPr>
          <w:tcW w:w="0" w:type="auto"/>
        </w:tcPr>
        <w:p w14:paraId="0A5012C1" w14:textId="77777777" w:rsidR="00470F26" w:rsidRPr="00AE5743" w:rsidRDefault="00470F26" w:rsidP="00470F26">
          <w:pPr>
            <w:pStyle w:val="Encabezado"/>
          </w:pPr>
          <w:r>
            <w:rPr>
              <w:noProof/>
            </w:rPr>
            <w:drawing>
              <wp:inline distT="0" distB="0" distL="0" distR="0" wp14:anchorId="0B44213D" wp14:editId="4FBBE173">
                <wp:extent cx="690880" cy="712470"/>
                <wp:effectExtent l="19050" t="0" r="0" b="0"/>
                <wp:docPr id="2" name="Imagen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
                        <pic:cNvPicPr>
                          <a:picLocks noChangeArrowheads="1"/>
                        </pic:cNvPicPr>
                      </pic:nvPicPr>
                      <pic:blipFill>
                        <a:blip r:embed="rId1"/>
                        <a:srcRect r="16782"/>
                        <a:stretch>
                          <a:fillRect/>
                        </a:stretch>
                      </pic:blipFill>
                      <pic:spPr bwMode="auto">
                        <a:xfrm>
                          <a:off x="0" y="0"/>
                          <a:ext cx="690880" cy="712470"/>
                        </a:xfrm>
                        <a:prstGeom prst="rect">
                          <a:avLst/>
                        </a:prstGeom>
                        <a:noFill/>
                        <a:ln w="9525">
                          <a:noFill/>
                          <a:miter lim="800000"/>
                          <a:headEnd/>
                          <a:tailEnd/>
                        </a:ln>
                      </pic:spPr>
                    </pic:pic>
                  </a:graphicData>
                </a:graphic>
              </wp:inline>
            </w:drawing>
          </w:r>
        </w:p>
      </w:tc>
      <w:tc>
        <w:tcPr>
          <w:tcW w:w="0" w:type="auto"/>
        </w:tcPr>
        <w:p w14:paraId="3CEC25D8" w14:textId="77777777" w:rsidR="00470F26" w:rsidRPr="00B51978" w:rsidRDefault="00470F26" w:rsidP="00470F26">
          <w:pPr>
            <w:pStyle w:val="Encabezado"/>
            <w:jc w:val="center"/>
            <w:rPr>
              <w:rFonts w:cs="Calibri"/>
            </w:rPr>
          </w:pPr>
          <w:r w:rsidRPr="00B51978">
            <w:rPr>
              <w:rFonts w:cs="Calibri"/>
            </w:rPr>
            <w:t>IES ARCIPRESTE DE HITA. DEPARTAMENTO DE INFORMÁTICA</w:t>
          </w:r>
        </w:p>
        <w:p w14:paraId="4A749DFE" w14:textId="628E7141" w:rsidR="00470F26" w:rsidRPr="00B51978" w:rsidRDefault="00470F26" w:rsidP="00470F26">
          <w:pPr>
            <w:pStyle w:val="Encabezado"/>
            <w:jc w:val="center"/>
            <w:rPr>
              <w:rFonts w:cs="Calibri"/>
            </w:rPr>
          </w:pPr>
          <w:r w:rsidRPr="00B51978">
            <w:rPr>
              <w:rFonts w:cs="Calibri"/>
            </w:rPr>
            <w:t xml:space="preserve">Programación didáctica del módulo: </w:t>
          </w:r>
          <w:r w:rsidR="0025796E">
            <w:rPr>
              <w:rFonts w:cs="Calibri"/>
            </w:rPr>
            <w:t>Hacking Ético</w:t>
          </w:r>
        </w:p>
        <w:p w14:paraId="76DE00E5" w14:textId="5D9F094F" w:rsidR="00470F26" w:rsidRPr="00B51978" w:rsidRDefault="00470F26" w:rsidP="00470F26">
          <w:pPr>
            <w:pStyle w:val="Encabezado"/>
            <w:jc w:val="center"/>
            <w:rPr>
              <w:rFonts w:cs="Calibri"/>
            </w:rPr>
          </w:pPr>
          <w:r w:rsidRPr="00B51978">
            <w:rPr>
              <w:rFonts w:cs="Calibri"/>
            </w:rPr>
            <w:t xml:space="preserve">Ciclo formativo: </w:t>
          </w:r>
          <w:r w:rsidR="009241DA">
            <w:rPr>
              <w:rFonts w:cs="Calibri"/>
            </w:rPr>
            <w:t>Especialización Ciberseguridad</w:t>
          </w:r>
        </w:p>
        <w:p w14:paraId="3DD55969" w14:textId="13E33C64" w:rsidR="00470F26" w:rsidRPr="00B51978" w:rsidRDefault="00470F26" w:rsidP="00470F26">
          <w:pPr>
            <w:pStyle w:val="Encabezado"/>
            <w:jc w:val="center"/>
            <w:rPr>
              <w:rFonts w:cs="Calibri"/>
            </w:rPr>
          </w:pPr>
          <w:r>
            <w:rPr>
              <w:rFonts w:cs="Calibri"/>
            </w:rPr>
            <w:t>Curso 20</w:t>
          </w:r>
          <w:r w:rsidR="003C034C">
            <w:rPr>
              <w:rFonts w:cs="Calibri"/>
            </w:rPr>
            <w:t>2</w:t>
          </w:r>
          <w:r w:rsidR="0054366B">
            <w:rPr>
              <w:rFonts w:cs="Calibri"/>
            </w:rPr>
            <w:t>1</w:t>
          </w:r>
          <w:r>
            <w:rPr>
              <w:rFonts w:cs="Calibri"/>
            </w:rPr>
            <w:t>/202</w:t>
          </w:r>
          <w:r w:rsidR="0054366B">
            <w:rPr>
              <w:rFonts w:cs="Calibri"/>
            </w:rPr>
            <w:t>2</w:t>
          </w:r>
        </w:p>
      </w:tc>
    </w:tr>
  </w:tbl>
  <w:p w14:paraId="2A380838" w14:textId="77777777" w:rsidR="00470F26" w:rsidRDefault="00470F26">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34B35"/>
    <w:multiLevelType w:val="multilevel"/>
    <w:tmpl w:val="C652D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8C2663C"/>
    <w:multiLevelType w:val="multilevel"/>
    <w:tmpl w:val="C396CC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0B832AF"/>
    <w:multiLevelType w:val="multilevel"/>
    <w:tmpl w:val="633C69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C30A3B"/>
    <w:multiLevelType w:val="multilevel"/>
    <w:tmpl w:val="68B8F2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E7797C"/>
    <w:multiLevelType w:val="multilevel"/>
    <w:tmpl w:val="AE687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22C6AE8"/>
    <w:multiLevelType w:val="multilevel"/>
    <w:tmpl w:val="0C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3839"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6" w15:restartNumberingAfterBreak="0">
    <w:nsid w:val="7FFB1144"/>
    <w:multiLevelType w:val="multilevel"/>
    <w:tmpl w:val="0C046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4"/>
  </w:num>
  <w:num w:numId="3">
    <w:abstractNumId w:val="0"/>
  </w:num>
  <w:num w:numId="4">
    <w:abstractNumId w:val="1"/>
  </w:num>
  <w:num w:numId="5">
    <w:abstractNumId w:val="2"/>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F26"/>
    <w:rsid w:val="001E0708"/>
    <w:rsid w:val="0025796E"/>
    <w:rsid w:val="003C034C"/>
    <w:rsid w:val="004101FA"/>
    <w:rsid w:val="00410F1A"/>
    <w:rsid w:val="00470F26"/>
    <w:rsid w:val="00483D95"/>
    <w:rsid w:val="0054366B"/>
    <w:rsid w:val="00841EE5"/>
    <w:rsid w:val="00856DE4"/>
    <w:rsid w:val="008A33AB"/>
    <w:rsid w:val="009241DA"/>
    <w:rsid w:val="0099060B"/>
    <w:rsid w:val="00B00230"/>
    <w:rsid w:val="00C83F3F"/>
    <w:rsid w:val="00CA302A"/>
    <w:rsid w:val="00D903A3"/>
    <w:rsid w:val="00D910B2"/>
    <w:rsid w:val="00DF3354"/>
    <w:rsid w:val="00F7754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F09329"/>
  <w15:chartTrackingRefBased/>
  <w15:docId w15:val="{3DB38C05-9F09-0844-AFE0-E9514787E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F26"/>
    <w:pPr>
      <w:spacing w:line="360" w:lineRule="auto"/>
      <w:jc w:val="both"/>
    </w:pPr>
    <w:rPr>
      <w:rFonts w:ascii="Calibri" w:eastAsia="Times New Roman" w:hAnsi="Calibri" w:cs="Times New Roman"/>
      <w:lang w:eastAsia="es-ES"/>
    </w:rPr>
  </w:style>
  <w:style w:type="paragraph" w:styleId="Ttulo1">
    <w:name w:val="heading 1"/>
    <w:basedOn w:val="Normal"/>
    <w:next w:val="Normal"/>
    <w:link w:val="Ttulo1Car"/>
    <w:qFormat/>
    <w:rsid w:val="00470F26"/>
    <w:pPr>
      <w:keepNext/>
      <w:numPr>
        <w:numId w:val="1"/>
      </w:numPr>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470F26"/>
    <w:pPr>
      <w:keepNext/>
      <w:numPr>
        <w:ilvl w:val="1"/>
        <w:numId w:val="1"/>
      </w:numPr>
      <w:spacing w:before="240" w:after="60"/>
      <w:outlineLvl w:val="1"/>
    </w:pPr>
    <w:rPr>
      <w:rFonts w:ascii="Arial" w:hAnsi="Arial" w:cs="Arial"/>
      <w:b/>
      <w:bCs/>
      <w:i/>
      <w:iCs/>
      <w:sz w:val="28"/>
      <w:szCs w:val="28"/>
    </w:rPr>
  </w:style>
  <w:style w:type="paragraph" w:styleId="Ttulo3">
    <w:name w:val="heading 3"/>
    <w:basedOn w:val="Normal"/>
    <w:next w:val="Normal"/>
    <w:link w:val="Ttulo3Car"/>
    <w:qFormat/>
    <w:rsid w:val="00470F26"/>
    <w:pPr>
      <w:keepNext/>
      <w:numPr>
        <w:ilvl w:val="2"/>
        <w:numId w:val="1"/>
      </w:numPr>
      <w:spacing w:before="240" w:after="60"/>
      <w:ind w:left="720"/>
      <w:outlineLvl w:val="2"/>
    </w:pPr>
    <w:rPr>
      <w:rFonts w:ascii="Arial" w:hAnsi="Arial"/>
      <w:b/>
      <w:bCs/>
      <w:sz w:val="26"/>
      <w:szCs w:val="26"/>
    </w:rPr>
  </w:style>
  <w:style w:type="paragraph" w:styleId="Ttulo4">
    <w:name w:val="heading 4"/>
    <w:basedOn w:val="Normal"/>
    <w:next w:val="Normal"/>
    <w:link w:val="Ttulo4Car"/>
    <w:qFormat/>
    <w:rsid w:val="00470F26"/>
    <w:pPr>
      <w:keepNext/>
      <w:numPr>
        <w:ilvl w:val="3"/>
        <w:numId w:val="1"/>
      </w:numPr>
      <w:spacing w:before="240" w:after="60"/>
      <w:outlineLvl w:val="3"/>
    </w:pPr>
    <w:rPr>
      <w:b/>
      <w:bCs/>
      <w:sz w:val="28"/>
      <w:szCs w:val="28"/>
    </w:rPr>
  </w:style>
  <w:style w:type="paragraph" w:styleId="Ttulo5">
    <w:name w:val="heading 5"/>
    <w:basedOn w:val="Normal"/>
    <w:next w:val="Normal"/>
    <w:link w:val="Ttulo5Car"/>
    <w:qFormat/>
    <w:rsid w:val="00470F26"/>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470F26"/>
    <w:pPr>
      <w:numPr>
        <w:ilvl w:val="5"/>
        <w:numId w:val="1"/>
      </w:numPr>
      <w:spacing w:before="240" w:after="60"/>
      <w:outlineLvl w:val="5"/>
    </w:pPr>
    <w:rPr>
      <w:b/>
      <w:bCs/>
      <w:sz w:val="22"/>
      <w:szCs w:val="22"/>
    </w:rPr>
  </w:style>
  <w:style w:type="paragraph" w:styleId="Ttulo7">
    <w:name w:val="heading 7"/>
    <w:basedOn w:val="Normal"/>
    <w:next w:val="Normal"/>
    <w:link w:val="Ttulo7Car"/>
    <w:qFormat/>
    <w:rsid w:val="00470F26"/>
    <w:pPr>
      <w:numPr>
        <w:ilvl w:val="6"/>
        <w:numId w:val="1"/>
      </w:numPr>
      <w:spacing w:before="240" w:after="60"/>
      <w:outlineLvl w:val="6"/>
    </w:pPr>
  </w:style>
  <w:style w:type="paragraph" w:styleId="Ttulo8">
    <w:name w:val="heading 8"/>
    <w:basedOn w:val="Normal"/>
    <w:next w:val="Normal"/>
    <w:link w:val="Ttulo8Car"/>
    <w:qFormat/>
    <w:rsid w:val="00470F26"/>
    <w:pPr>
      <w:numPr>
        <w:ilvl w:val="7"/>
        <w:numId w:val="1"/>
      </w:numPr>
      <w:spacing w:before="240" w:after="60"/>
      <w:outlineLvl w:val="7"/>
    </w:pPr>
    <w:rPr>
      <w:i/>
      <w:iCs/>
    </w:rPr>
  </w:style>
  <w:style w:type="paragraph" w:styleId="Ttulo9">
    <w:name w:val="heading 9"/>
    <w:basedOn w:val="Normal"/>
    <w:next w:val="Normal"/>
    <w:link w:val="Ttulo9Car"/>
    <w:qFormat/>
    <w:rsid w:val="00470F26"/>
    <w:pPr>
      <w:numPr>
        <w:ilvl w:val="8"/>
        <w:numId w:val="1"/>
      </w:num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0F26"/>
    <w:pPr>
      <w:tabs>
        <w:tab w:val="center" w:pos="4419"/>
        <w:tab w:val="right" w:pos="8838"/>
      </w:tabs>
    </w:pPr>
  </w:style>
  <w:style w:type="character" w:customStyle="1" w:styleId="EncabezadoCar">
    <w:name w:val="Encabezado Car"/>
    <w:basedOn w:val="Fuentedeprrafopredeter"/>
    <w:link w:val="Encabezado"/>
    <w:uiPriority w:val="99"/>
    <w:rsid w:val="00470F26"/>
  </w:style>
  <w:style w:type="paragraph" w:styleId="Piedepgina">
    <w:name w:val="footer"/>
    <w:basedOn w:val="Normal"/>
    <w:link w:val="PiedepginaCar"/>
    <w:uiPriority w:val="99"/>
    <w:unhideWhenUsed/>
    <w:rsid w:val="00470F26"/>
    <w:pPr>
      <w:tabs>
        <w:tab w:val="center" w:pos="4419"/>
        <w:tab w:val="right" w:pos="8838"/>
      </w:tabs>
    </w:pPr>
  </w:style>
  <w:style w:type="character" w:customStyle="1" w:styleId="PiedepginaCar">
    <w:name w:val="Pie de página Car"/>
    <w:basedOn w:val="Fuentedeprrafopredeter"/>
    <w:link w:val="Piedepgina"/>
    <w:uiPriority w:val="99"/>
    <w:rsid w:val="00470F26"/>
  </w:style>
  <w:style w:type="character" w:customStyle="1" w:styleId="Ttulo1Car">
    <w:name w:val="Título 1 Car"/>
    <w:basedOn w:val="Fuentedeprrafopredeter"/>
    <w:link w:val="Ttulo1"/>
    <w:rsid w:val="00470F26"/>
    <w:rPr>
      <w:rFonts w:ascii="Arial" w:eastAsia="Times New Roman" w:hAnsi="Arial" w:cs="Arial"/>
      <w:b/>
      <w:bCs/>
      <w:kern w:val="32"/>
      <w:sz w:val="32"/>
      <w:szCs w:val="32"/>
      <w:lang w:eastAsia="es-ES"/>
    </w:rPr>
  </w:style>
  <w:style w:type="character" w:customStyle="1" w:styleId="Ttulo2Car">
    <w:name w:val="Título 2 Car"/>
    <w:basedOn w:val="Fuentedeprrafopredeter"/>
    <w:link w:val="Ttulo2"/>
    <w:rsid w:val="00470F26"/>
    <w:rPr>
      <w:rFonts w:ascii="Arial" w:eastAsia="Times New Roman" w:hAnsi="Arial" w:cs="Arial"/>
      <w:b/>
      <w:bCs/>
      <w:i/>
      <w:iCs/>
      <w:sz w:val="28"/>
      <w:szCs w:val="28"/>
      <w:lang w:eastAsia="es-ES"/>
    </w:rPr>
  </w:style>
  <w:style w:type="character" w:customStyle="1" w:styleId="Ttulo3Car">
    <w:name w:val="Título 3 Car"/>
    <w:basedOn w:val="Fuentedeprrafopredeter"/>
    <w:link w:val="Ttulo3"/>
    <w:rsid w:val="00470F26"/>
    <w:rPr>
      <w:rFonts w:ascii="Arial" w:eastAsia="Times New Roman" w:hAnsi="Arial" w:cs="Times New Roman"/>
      <w:b/>
      <w:bCs/>
      <w:sz w:val="26"/>
      <w:szCs w:val="26"/>
      <w:lang w:eastAsia="es-ES"/>
    </w:rPr>
  </w:style>
  <w:style w:type="character" w:customStyle="1" w:styleId="Ttulo4Car">
    <w:name w:val="Título 4 Car"/>
    <w:basedOn w:val="Fuentedeprrafopredeter"/>
    <w:link w:val="Ttulo4"/>
    <w:rsid w:val="00470F26"/>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470F26"/>
    <w:rPr>
      <w:rFonts w:ascii="Calibri" w:eastAsia="Times New Roman" w:hAnsi="Calibri" w:cs="Times New Roman"/>
      <w:b/>
      <w:bCs/>
      <w:i/>
      <w:iCs/>
      <w:sz w:val="26"/>
      <w:szCs w:val="26"/>
      <w:lang w:eastAsia="es-ES"/>
    </w:rPr>
  </w:style>
  <w:style w:type="character" w:customStyle="1" w:styleId="Ttulo6Car">
    <w:name w:val="Título 6 Car"/>
    <w:basedOn w:val="Fuentedeprrafopredeter"/>
    <w:link w:val="Ttulo6"/>
    <w:rsid w:val="00470F26"/>
    <w:rPr>
      <w:rFonts w:ascii="Calibri" w:eastAsia="Times New Roman" w:hAnsi="Calibri" w:cs="Times New Roman"/>
      <w:b/>
      <w:bCs/>
      <w:sz w:val="22"/>
      <w:szCs w:val="22"/>
      <w:lang w:eastAsia="es-ES"/>
    </w:rPr>
  </w:style>
  <w:style w:type="character" w:customStyle="1" w:styleId="Ttulo7Car">
    <w:name w:val="Título 7 Car"/>
    <w:basedOn w:val="Fuentedeprrafopredeter"/>
    <w:link w:val="Ttulo7"/>
    <w:rsid w:val="00470F26"/>
    <w:rPr>
      <w:rFonts w:ascii="Calibri" w:eastAsia="Times New Roman" w:hAnsi="Calibri" w:cs="Times New Roman"/>
      <w:lang w:eastAsia="es-ES"/>
    </w:rPr>
  </w:style>
  <w:style w:type="character" w:customStyle="1" w:styleId="Ttulo8Car">
    <w:name w:val="Título 8 Car"/>
    <w:basedOn w:val="Fuentedeprrafopredeter"/>
    <w:link w:val="Ttulo8"/>
    <w:rsid w:val="00470F26"/>
    <w:rPr>
      <w:rFonts w:ascii="Calibri" w:eastAsia="Times New Roman" w:hAnsi="Calibri" w:cs="Times New Roman"/>
      <w:i/>
      <w:iCs/>
      <w:lang w:eastAsia="es-ES"/>
    </w:rPr>
  </w:style>
  <w:style w:type="character" w:customStyle="1" w:styleId="Ttulo9Car">
    <w:name w:val="Título 9 Car"/>
    <w:basedOn w:val="Fuentedeprrafopredeter"/>
    <w:link w:val="Ttulo9"/>
    <w:rsid w:val="00470F26"/>
    <w:rPr>
      <w:rFonts w:ascii="Cambria" w:eastAsia="Times New Roman" w:hAnsi="Cambria" w:cs="Times New Roman"/>
      <w:sz w:val="22"/>
      <w:szCs w:val="22"/>
      <w:lang w:eastAsia="es-ES"/>
    </w:rPr>
  </w:style>
  <w:style w:type="paragraph" w:styleId="TDC1">
    <w:name w:val="toc 1"/>
    <w:basedOn w:val="Normal"/>
    <w:next w:val="Normal"/>
    <w:autoRedefine/>
    <w:uiPriority w:val="39"/>
    <w:rsid w:val="00470F26"/>
  </w:style>
  <w:style w:type="character" w:styleId="Hipervnculo">
    <w:name w:val="Hyperlink"/>
    <w:uiPriority w:val="99"/>
    <w:rsid w:val="00470F26"/>
    <w:rPr>
      <w:color w:val="0000FF"/>
      <w:u w:val="single"/>
    </w:rPr>
  </w:style>
  <w:style w:type="table" w:styleId="Tablaconcuadrcula">
    <w:name w:val="Table Grid"/>
    <w:basedOn w:val="Tablanormal"/>
    <w:uiPriority w:val="99"/>
    <w:rsid w:val="00470F26"/>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
    <w:name w:val="Grid Table 4"/>
    <w:basedOn w:val="Tablanormal"/>
    <w:uiPriority w:val="49"/>
    <w:rsid w:val="00470F26"/>
    <w:rPr>
      <w:rFonts w:ascii="Times New Roman" w:eastAsia="Times New Roman" w:hAnsi="Times New Roman" w:cs="Times New Roman"/>
      <w:sz w:val="20"/>
      <w:szCs w:val="20"/>
      <w:lang w:eastAsia="es-ES"/>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Web">
    <w:name w:val="Normal (Web)"/>
    <w:basedOn w:val="Normal"/>
    <w:uiPriority w:val="99"/>
    <w:unhideWhenUsed/>
    <w:rsid w:val="0025796E"/>
    <w:pPr>
      <w:spacing w:before="100" w:beforeAutospacing="1" w:after="100" w:afterAutospacing="1" w:line="240" w:lineRule="auto"/>
      <w:jc w:val="left"/>
    </w:pPr>
    <w:rPr>
      <w:rFonts w:ascii="Times New Roman" w:hAnsi="Times New Roman"/>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0461307">
      <w:bodyDiv w:val="1"/>
      <w:marLeft w:val="0"/>
      <w:marRight w:val="0"/>
      <w:marTop w:val="0"/>
      <w:marBottom w:val="0"/>
      <w:divBdr>
        <w:top w:val="none" w:sz="0" w:space="0" w:color="auto"/>
        <w:left w:val="none" w:sz="0" w:space="0" w:color="auto"/>
        <w:bottom w:val="none" w:sz="0" w:space="0" w:color="auto"/>
        <w:right w:val="none" w:sz="0" w:space="0" w:color="auto"/>
      </w:divBdr>
      <w:divsChild>
        <w:div w:id="1729525425">
          <w:marLeft w:val="0"/>
          <w:marRight w:val="0"/>
          <w:marTop w:val="0"/>
          <w:marBottom w:val="0"/>
          <w:divBdr>
            <w:top w:val="none" w:sz="0" w:space="0" w:color="auto"/>
            <w:left w:val="none" w:sz="0" w:space="0" w:color="auto"/>
            <w:bottom w:val="none" w:sz="0" w:space="0" w:color="auto"/>
            <w:right w:val="none" w:sz="0" w:space="0" w:color="auto"/>
          </w:divBdr>
          <w:divsChild>
            <w:div w:id="1258052981">
              <w:marLeft w:val="0"/>
              <w:marRight w:val="0"/>
              <w:marTop w:val="0"/>
              <w:marBottom w:val="0"/>
              <w:divBdr>
                <w:top w:val="none" w:sz="0" w:space="0" w:color="auto"/>
                <w:left w:val="none" w:sz="0" w:space="0" w:color="auto"/>
                <w:bottom w:val="none" w:sz="0" w:space="0" w:color="auto"/>
                <w:right w:val="none" w:sz="0" w:space="0" w:color="auto"/>
              </w:divBdr>
              <w:divsChild>
                <w:div w:id="1514104950">
                  <w:marLeft w:val="0"/>
                  <w:marRight w:val="0"/>
                  <w:marTop w:val="0"/>
                  <w:marBottom w:val="0"/>
                  <w:divBdr>
                    <w:top w:val="none" w:sz="0" w:space="0" w:color="auto"/>
                    <w:left w:val="none" w:sz="0" w:space="0" w:color="auto"/>
                    <w:bottom w:val="none" w:sz="0" w:space="0" w:color="auto"/>
                    <w:right w:val="none" w:sz="0" w:space="0" w:color="auto"/>
                  </w:divBdr>
                  <w:divsChild>
                    <w:div w:id="740836895">
                      <w:marLeft w:val="0"/>
                      <w:marRight w:val="0"/>
                      <w:marTop w:val="0"/>
                      <w:marBottom w:val="0"/>
                      <w:divBdr>
                        <w:top w:val="none" w:sz="0" w:space="0" w:color="auto"/>
                        <w:left w:val="none" w:sz="0" w:space="0" w:color="auto"/>
                        <w:bottom w:val="none" w:sz="0" w:space="0" w:color="auto"/>
                        <w:right w:val="none" w:sz="0" w:space="0" w:color="auto"/>
                      </w:divBdr>
                    </w:div>
                    <w:div w:id="1253010899">
                      <w:marLeft w:val="0"/>
                      <w:marRight w:val="0"/>
                      <w:marTop w:val="0"/>
                      <w:marBottom w:val="0"/>
                      <w:divBdr>
                        <w:top w:val="none" w:sz="0" w:space="0" w:color="auto"/>
                        <w:left w:val="none" w:sz="0" w:space="0" w:color="auto"/>
                        <w:bottom w:val="none" w:sz="0" w:space="0" w:color="auto"/>
                        <w:right w:val="none" w:sz="0" w:space="0" w:color="auto"/>
                      </w:divBdr>
                    </w:div>
                  </w:divsChild>
                </w:div>
                <w:div w:id="2082172204">
                  <w:marLeft w:val="0"/>
                  <w:marRight w:val="0"/>
                  <w:marTop w:val="0"/>
                  <w:marBottom w:val="0"/>
                  <w:divBdr>
                    <w:top w:val="none" w:sz="0" w:space="0" w:color="auto"/>
                    <w:left w:val="none" w:sz="0" w:space="0" w:color="auto"/>
                    <w:bottom w:val="none" w:sz="0" w:space="0" w:color="auto"/>
                    <w:right w:val="none" w:sz="0" w:space="0" w:color="auto"/>
                  </w:divBdr>
                  <w:divsChild>
                    <w:div w:id="175933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6059285">
      <w:bodyDiv w:val="1"/>
      <w:marLeft w:val="0"/>
      <w:marRight w:val="0"/>
      <w:marTop w:val="0"/>
      <w:marBottom w:val="0"/>
      <w:divBdr>
        <w:top w:val="none" w:sz="0" w:space="0" w:color="auto"/>
        <w:left w:val="none" w:sz="0" w:space="0" w:color="auto"/>
        <w:bottom w:val="none" w:sz="0" w:space="0" w:color="auto"/>
        <w:right w:val="none" w:sz="0" w:space="0" w:color="auto"/>
      </w:divBdr>
    </w:div>
    <w:div w:id="1720590821">
      <w:bodyDiv w:val="1"/>
      <w:marLeft w:val="0"/>
      <w:marRight w:val="0"/>
      <w:marTop w:val="0"/>
      <w:marBottom w:val="0"/>
      <w:divBdr>
        <w:top w:val="none" w:sz="0" w:space="0" w:color="auto"/>
        <w:left w:val="none" w:sz="0" w:space="0" w:color="auto"/>
        <w:bottom w:val="none" w:sz="0" w:space="0" w:color="auto"/>
        <w:right w:val="none" w:sz="0" w:space="0" w:color="auto"/>
      </w:divBdr>
      <w:divsChild>
        <w:div w:id="1923833482">
          <w:marLeft w:val="0"/>
          <w:marRight w:val="0"/>
          <w:marTop w:val="0"/>
          <w:marBottom w:val="0"/>
          <w:divBdr>
            <w:top w:val="none" w:sz="0" w:space="0" w:color="auto"/>
            <w:left w:val="none" w:sz="0" w:space="0" w:color="auto"/>
            <w:bottom w:val="none" w:sz="0" w:space="0" w:color="auto"/>
            <w:right w:val="none" w:sz="0" w:space="0" w:color="auto"/>
          </w:divBdr>
          <w:divsChild>
            <w:div w:id="1377193752">
              <w:marLeft w:val="0"/>
              <w:marRight w:val="0"/>
              <w:marTop w:val="0"/>
              <w:marBottom w:val="0"/>
              <w:divBdr>
                <w:top w:val="none" w:sz="0" w:space="0" w:color="auto"/>
                <w:left w:val="none" w:sz="0" w:space="0" w:color="auto"/>
                <w:bottom w:val="none" w:sz="0" w:space="0" w:color="auto"/>
                <w:right w:val="none" w:sz="0" w:space="0" w:color="auto"/>
              </w:divBdr>
              <w:divsChild>
                <w:div w:id="375813948">
                  <w:marLeft w:val="0"/>
                  <w:marRight w:val="0"/>
                  <w:marTop w:val="0"/>
                  <w:marBottom w:val="0"/>
                  <w:divBdr>
                    <w:top w:val="none" w:sz="0" w:space="0" w:color="auto"/>
                    <w:left w:val="none" w:sz="0" w:space="0" w:color="auto"/>
                    <w:bottom w:val="none" w:sz="0" w:space="0" w:color="auto"/>
                    <w:right w:val="none" w:sz="0" w:space="0" w:color="auto"/>
                  </w:divBdr>
                  <w:divsChild>
                    <w:div w:id="171095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A0127DF3DBD27448272D12014779C5A" ma:contentTypeVersion="10" ma:contentTypeDescription="Crear nuevo documento." ma:contentTypeScope="" ma:versionID="c21b187a47ccfa9b905cc31f44f2f232">
  <xsd:schema xmlns:xsd="http://www.w3.org/2001/XMLSchema" xmlns:xs="http://www.w3.org/2001/XMLSchema" xmlns:p="http://schemas.microsoft.com/office/2006/metadata/properties" xmlns:ns2="f41be6ae-1188-445c-b2dd-ff87889f6ae9" targetNamespace="http://schemas.microsoft.com/office/2006/metadata/properties" ma:root="true" ma:fieldsID="d6e85d35d08d098019d77fbdf00bdc2b" ns2:_="">
    <xsd:import namespace="f41be6ae-1188-445c-b2dd-ff87889f6ae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1be6ae-1188-445c-b2dd-ff87889f6a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D0B6FA2-E6ED-41D3-BE95-4CC8F7C2D98D}"/>
</file>

<file path=customXml/itemProps2.xml><?xml version="1.0" encoding="utf-8"?>
<ds:datastoreItem xmlns:ds="http://schemas.openxmlformats.org/officeDocument/2006/customXml" ds:itemID="{000FBC0E-9209-4EDA-8B96-914D1FE3111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F20A7E3-DF55-43F3-B682-19BB2255BAC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8</Pages>
  <Words>1236</Words>
  <Characters>6802</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Perdices Calvo</dc:creator>
  <cp:keywords/>
  <dc:description/>
  <cp:lastModifiedBy>Microsoft Office User</cp:lastModifiedBy>
  <cp:revision>13</cp:revision>
  <dcterms:created xsi:type="dcterms:W3CDTF">2019-09-13T19:27:00Z</dcterms:created>
  <dcterms:modified xsi:type="dcterms:W3CDTF">2021-10-20T08:51:00Z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0x0101002A0127DF3DBD27448272D12014779C5A</vt:lpwstr>
  </property>
</Properties>
</file>