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0"/>
        <w:gridCol w:w="5433"/>
        <w:gridCol w:w="7"/>
        <w:gridCol w:w="985"/>
        <w:gridCol w:w="455"/>
        <w:gridCol w:w="720"/>
      </w:tblGrid>
      <w:tr w:rsidR="00E77020" w:rsidTr="00B05525">
        <w:trPr>
          <w:trHeight w:val="389"/>
          <w:jc w:val="center"/>
        </w:trPr>
        <w:tc>
          <w:tcPr>
            <w:tcW w:w="9540" w:type="dxa"/>
            <w:gridSpan w:val="6"/>
            <w:tcBorders>
              <w:top w:val="single" w:sz="4" w:space="0" w:color="auto"/>
              <w:left w:val="single" w:sz="4" w:space="0" w:color="auto"/>
              <w:bottom w:val="single" w:sz="4" w:space="0" w:color="auto"/>
              <w:right w:val="single" w:sz="4" w:space="0" w:color="auto"/>
            </w:tcBorders>
            <w:shd w:val="pct20" w:color="000000" w:fill="FFFFFF"/>
            <w:vAlign w:val="center"/>
          </w:tcPr>
          <w:p w:rsidR="00E77020" w:rsidRPr="005C3DF1" w:rsidRDefault="00E77020" w:rsidP="00141CF2">
            <w:pPr>
              <w:pStyle w:val="Ttulo1"/>
              <w:spacing w:before="120" w:after="120"/>
              <w:rPr>
                <w:b w:val="0"/>
                <w:bCs w:val="0"/>
                <w:sz w:val="22"/>
                <w:szCs w:val="22"/>
              </w:rPr>
            </w:pPr>
            <w:r w:rsidRPr="005C3DF1">
              <w:rPr>
                <w:b w:val="0"/>
                <w:bCs w:val="0"/>
                <w:sz w:val="22"/>
                <w:szCs w:val="22"/>
              </w:rPr>
              <w:t>I. REVISIÓN DE LA PROGRAMACIÓN</w:t>
            </w:r>
            <w:r>
              <w:rPr>
                <w:b w:val="0"/>
                <w:bCs w:val="0"/>
                <w:sz w:val="22"/>
                <w:szCs w:val="22"/>
              </w:rPr>
              <w:t xml:space="preserve"> 3º TRIMESTRE</w:t>
            </w:r>
          </w:p>
        </w:tc>
      </w:tr>
      <w:tr w:rsidR="00E77020" w:rsidTr="00B05525">
        <w:trPr>
          <w:jc w:val="center"/>
        </w:trPr>
        <w:tc>
          <w:tcPr>
            <w:tcW w:w="1940" w:type="dxa"/>
            <w:tcBorders>
              <w:top w:val="single" w:sz="4" w:space="0" w:color="auto"/>
              <w:left w:val="single" w:sz="4" w:space="0" w:color="auto"/>
              <w:bottom w:val="single" w:sz="4" w:space="0" w:color="auto"/>
              <w:right w:val="single" w:sz="4" w:space="0" w:color="auto"/>
            </w:tcBorders>
            <w:shd w:val="pct20" w:color="000000" w:fill="FFFFFF"/>
            <w:vAlign w:val="center"/>
          </w:tcPr>
          <w:p w:rsidR="00E77020" w:rsidRDefault="00E77020" w:rsidP="00141CF2">
            <w:pPr>
              <w:rPr>
                <w:b/>
                <w:bCs/>
              </w:rPr>
            </w:pPr>
            <w:r>
              <w:rPr>
                <w:b/>
                <w:bCs/>
              </w:rPr>
              <w:t>Familia:</w:t>
            </w:r>
          </w:p>
          <w:p w:rsidR="00E77020" w:rsidRDefault="00E77020" w:rsidP="00141CF2">
            <w:pPr>
              <w:rPr>
                <w:b/>
                <w:bCs/>
              </w:rPr>
            </w:pPr>
          </w:p>
        </w:tc>
        <w:tc>
          <w:tcPr>
            <w:tcW w:w="5433" w:type="dxa"/>
            <w:tcBorders>
              <w:top w:val="single" w:sz="4" w:space="0" w:color="auto"/>
              <w:left w:val="single" w:sz="4" w:space="0" w:color="auto"/>
              <w:bottom w:val="single" w:sz="4" w:space="0" w:color="auto"/>
              <w:right w:val="single" w:sz="4" w:space="0" w:color="auto"/>
            </w:tcBorders>
            <w:vAlign w:val="center"/>
          </w:tcPr>
          <w:p w:rsidR="00E77020" w:rsidRPr="00B05525" w:rsidRDefault="00B05525" w:rsidP="00141CF2">
            <w:pPr>
              <w:rPr>
                <w:b/>
                <w:bCs/>
                <w:sz w:val="22"/>
              </w:rPr>
            </w:pPr>
            <w:r w:rsidRPr="00B05525">
              <w:rPr>
                <w:b/>
                <w:bCs/>
                <w:sz w:val="22"/>
              </w:rPr>
              <w:t>INFORMÁTICA Y COMUNICACIONES</w:t>
            </w:r>
          </w:p>
        </w:tc>
        <w:tc>
          <w:tcPr>
            <w:tcW w:w="992"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E77020" w:rsidRDefault="00E77020" w:rsidP="00141CF2">
            <w:pPr>
              <w:rPr>
                <w:b/>
                <w:bCs/>
              </w:rPr>
            </w:pPr>
            <w:r>
              <w:rPr>
                <w:b/>
                <w:bCs/>
              </w:rPr>
              <w:t>Grupo:</w:t>
            </w:r>
          </w:p>
          <w:p w:rsidR="00E77020" w:rsidRDefault="00E77020" w:rsidP="00141CF2">
            <w:pPr>
              <w:rPr>
                <w:b/>
                <w:bCs/>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E77020" w:rsidRPr="00B05525" w:rsidRDefault="00B05525" w:rsidP="00D3772C">
            <w:pPr>
              <w:rPr>
                <w:b/>
                <w:bCs/>
                <w:sz w:val="22"/>
              </w:rPr>
            </w:pPr>
            <w:r w:rsidRPr="00B05525">
              <w:rPr>
                <w:b/>
                <w:bCs/>
                <w:sz w:val="22"/>
              </w:rPr>
              <w:t xml:space="preserve">1º </w:t>
            </w:r>
            <w:r w:rsidR="00D3772C">
              <w:rPr>
                <w:b/>
                <w:bCs/>
                <w:sz w:val="22"/>
              </w:rPr>
              <w:t>DAW</w:t>
            </w:r>
          </w:p>
        </w:tc>
      </w:tr>
      <w:tr w:rsidR="00E77020" w:rsidTr="00B05525">
        <w:trPr>
          <w:jc w:val="center"/>
        </w:trPr>
        <w:tc>
          <w:tcPr>
            <w:tcW w:w="1940" w:type="dxa"/>
            <w:tcBorders>
              <w:top w:val="single" w:sz="4" w:space="0" w:color="auto"/>
              <w:left w:val="single" w:sz="4" w:space="0" w:color="auto"/>
              <w:bottom w:val="single" w:sz="4" w:space="0" w:color="auto"/>
              <w:right w:val="single" w:sz="4" w:space="0" w:color="auto"/>
            </w:tcBorders>
            <w:shd w:val="pct20" w:color="000000" w:fill="FFFFFF"/>
            <w:vAlign w:val="center"/>
          </w:tcPr>
          <w:p w:rsidR="00E77020" w:rsidRDefault="00E77020" w:rsidP="00141CF2">
            <w:pPr>
              <w:rPr>
                <w:b/>
                <w:bCs/>
              </w:rPr>
            </w:pPr>
            <w:r>
              <w:rPr>
                <w:b/>
                <w:bCs/>
              </w:rPr>
              <w:t>Ciclo Formativo:</w:t>
            </w:r>
          </w:p>
          <w:p w:rsidR="00E77020" w:rsidRDefault="00E77020" w:rsidP="00141CF2">
            <w:pPr>
              <w:rPr>
                <w:b/>
                <w:bCs/>
              </w:rPr>
            </w:pPr>
          </w:p>
        </w:tc>
        <w:tc>
          <w:tcPr>
            <w:tcW w:w="7600" w:type="dxa"/>
            <w:gridSpan w:val="5"/>
            <w:tcBorders>
              <w:top w:val="single" w:sz="4" w:space="0" w:color="auto"/>
              <w:left w:val="single" w:sz="4" w:space="0" w:color="auto"/>
              <w:bottom w:val="single" w:sz="4" w:space="0" w:color="auto"/>
              <w:right w:val="single" w:sz="4" w:space="0" w:color="auto"/>
            </w:tcBorders>
            <w:vAlign w:val="center"/>
          </w:tcPr>
          <w:p w:rsidR="00E77020" w:rsidRPr="00B05525" w:rsidRDefault="00D3772C" w:rsidP="00B05525">
            <w:pPr>
              <w:spacing w:line="241" w:lineRule="exact"/>
              <w:ind w:right="108"/>
              <w:rPr>
                <w:b/>
                <w:w w:val="97"/>
                <w:sz w:val="22"/>
              </w:rPr>
            </w:pPr>
            <w:r>
              <w:rPr>
                <w:b/>
                <w:w w:val="97"/>
                <w:sz w:val="22"/>
              </w:rPr>
              <w:t>DESARROLLO DE APLICACIONES WEB</w:t>
            </w:r>
            <w:r w:rsidR="000B1C70">
              <w:rPr>
                <w:b/>
                <w:w w:val="97"/>
                <w:sz w:val="22"/>
              </w:rPr>
              <w:t xml:space="preserve"> 1º CURSO</w:t>
            </w:r>
            <w:bookmarkStart w:id="0" w:name="_GoBack"/>
            <w:bookmarkEnd w:id="0"/>
          </w:p>
        </w:tc>
      </w:tr>
      <w:tr w:rsidR="00B05525" w:rsidTr="004B1201">
        <w:trPr>
          <w:cantSplit/>
          <w:trHeight w:val="663"/>
          <w:jc w:val="center"/>
        </w:trPr>
        <w:tc>
          <w:tcPr>
            <w:tcW w:w="1940" w:type="dxa"/>
            <w:tcBorders>
              <w:top w:val="single" w:sz="4" w:space="0" w:color="auto"/>
              <w:left w:val="single" w:sz="4" w:space="0" w:color="auto"/>
              <w:bottom w:val="single" w:sz="4" w:space="0" w:color="auto"/>
              <w:right w:val="single" w:sz="4" w:space="0" w:color="auto"/>
            </w:tcBorders>
            <w:shd w:val="pct20" w:color="000000" w:fill="FFFFFF"/>
            <w:vAlign w:val="center"/>
          </w:tcPr>
          <w:p w:rsidR="00B05525" w:rsidRDefault="00B05525" w:rsidP="00141CF2">
            <w:pPr>
              <w:rPr>
                <w:b/>
                <w:bCs/>
              </w:rPr>
            </w:pPr>
            <w:r>
              <w:rPr>
                <w:b/>
                <w:bCs/>
              </w:rPr>
              <w:t>Módulo:</w:t>
            </w:r>
          </w:p>
        </w:tc>
        <w:tc>
          <w:tcPr>
            <w:tcW w:w="5440" w:type="dxa"/>
            <w:gridSpan w:val="2"/>
            <w:tcBorders>
              <w:top w:val="single" w:sz="4" w:space="0" w:color="auto"/>
              <w:left w:val="single" w:sz="4" w:space="0" w:color="auto"/>
              <w:bottom w:val="single" w:sz="4" w:space="0" w:color="auto"/>
              <w:right w:val="nil"/>
            </w:tcBorders>
            <w:vAlign w:val="center"/>
          </w:tcPr>
          <w:p w:rsidR="00B05525" w:rsidRPr="00B05525" w:rsidRDefault="00B05525" w:rsidP="00141CF2">
            <w:pPr>
              <w:rPr>
                <w:b/>
                <w:bCs/>
                <w:sz w:val="22"/>
              </w:rPr>
            </w:pPr>
            <w:r w:rsidRPr="00B05525">
              <w:rPr>
                <w:b/>
                <w:bCs/>
                <w:sz w:val="22"/>
              </w:rPr>
              <w:t>FORMACIÓN Y ORIENTACIÓN LABORAL</w:t>
            </w:r>
          </w:p>
        </w:tc>
        <w:tc>
          <w:tcPr>
            <w:tcW w:w="1440" w:type="dxa"/>
            <w:gridSpan w:val="2"/>
            <w:tcBorders>
              <w:top w:val="single" w:sz="4" w:space="0" w:color="auto"/>
              <w:left w:val="nil"/>
              <w:right w:val="nil"/>
            </w:tcBorders>
            <w:shd w:val="clear" w:color="auto" w:fill="auto"/>
            <w:vAlign w:val="center"/>
          </w:tcPr>
          <w:p w:rsidR="00B05525" w:rsidRDefault="00B05525" w:rsidP="00141CF2">
            <w:pPr>
              <w:jc w:val="center"/>
              <w:rPr>
                <w:b/>
                <w:bCs/>
              </w:rPr>
            </w:pPr>
          </w:p>
        </w:tc>
        <w:tc>
          <w:tcPr>
            <w:tcW w:w="720" w:type="dxa"/>
            <w:tcBorders>
              <w:top w:val="single" w:sz="4" w:space="0" w:color="auto"/>
              <w:left w:val="nil"/>
              <w:right w:val="single" w:sz="4" w:space="0" w:color="auto"/>
            </w:tcBorders>
            <w:shd w:val="clear" w:color="auto" w:fill="auto"/>
            <w:vAlign w:val="center"/>
          </w:tcPr>
          <w:p w:rsidR="00B05525" w:rsidRDefault="00B05525" w:rsidP="00141CF2">
            <w:pPr>
              <w:jc w:val="center"/>
              <w:rPr>
                <w:b/>
                <w:bCs/>
              </w:rPr>
            </w:pPr>
          </w:p>
        </w:tc>
      </w:tr>
      <w:tr w:rsidR="00E77020" w:rsidTr="00B05525">
        <w:trPr>
          <w:jc w:val="center"/>
        </w:trPr>
        <w:tc>
          <w:tcPr>
            <w:tcW w:w="1940" w:type="dxa"/>
            <w:tcBorders>
              <w:top w:val="single" w:sz="4" w:space="0" w:color="auto"/>
              <w:left w:val="single" w:sz="4" w:space="0" w:color="auto"/>
              <w:bottom w:val="single" w:sz="4" w:space="0" w:color="auto"/>
              <w:right w:val="single" w:sz="4" w:space="0" w:color="auto"/>
            </w:tcBorders>
            <w:shd w:val="pct20" w:color="000000" w:fill="FFFFFF"/>
            <w:vAlign w:val="center"/>
          </w:tcPr>
          <w:p w:rsidR="00E77020" w:rsidRDefault="00E77020" w:rsidP="00141CF2">
            <w:pPr>
              <w:rPr>
                <w:b/>
                <w:bCs/>
              </w:rPr>
            </w:pPr>
            <w:r>
              <w:rPr>
                <w:b/>
                <w:bCs/>
              </w:rPr>
              <w:t>Profesor/a</w:t>
            </w:r>
          </w:p>
          <w:p w:rsidR="00E77020" w:rsidRDefault="00E77020" w:rsidP="00141CF2">
            <w:pPr>
              <w:rPr>
                <w:b/>
                <w:bCs/>
              </w:rPr>
            </w:pPr>
          </w:p>
        </w:tc>
        <w:tc>
          <w:tcPr>
            <w:tcW w:w="7600" w:type="dxa"/>
            <w:gridSpan w:val="5"/>
            <w:tcBorders>
              <w:top w:val="single" w:sz="4" w:space="0" w:color="auto"/>
              <w:left w:val="single" w:sz="4" w:space="0" w:color="auto"/>
              <w:bottom w:val="single" w:sz="4" w:space="0" w:color="auto"/>
              <w:right w:val="single" w:sz="4" w:space="0" w:color="auto"/>
            </w:tcBorders>
            <w:vAlign w:val="center"/>
          </w:tcPr>
          <w:p w:rsidR="00E77020" w:rsidRPr="004B1201" w:rsidRDefault="00B05525" w:rsidP="004B1201">
            <w:pPr>
              <w:pStyle w:val="Ttulo5"/>
              <w:rPr>
                <w:i w:val="0"/>
                <w:sz w:val="22"/>
                <w:szCs w:val="24"/>
              </w:rPr>
            </w:pPr>
            <w:r w:rsidRPr="004B1201">
              <w:rPr>
                <w:i w:val="0"/>
                <w:sz w:val="22"/>
                <w:szCs w:val="24"/>
              </w:rPr>
              <w:t>JUAN OBEO NÚÑEZ</w:t>
            </w:r>
          </w:p>
        </w:tc>
      </w:tr>
      <w:tr w:rsidR="00E77020" w:rsidRPr="00472D5C" w:rsidTr="00B05525">
        <w:trPr>
          <w:jc w:val="center"/>
        </w:trPr>
        <w:tc>
          <w:tcPr>
            <w:tcW w:w="9540" w:type="dxa"/>
            <w:gridSpan w:val="6"/>
            <w:tcBorders>
              <w:top w:val="single" w:sz="4" w:space="0" w:color="auto"/>
              <w:left w:val="single" w:sz="4" w:space="0" w:color="auto"/>
              <w:bottom w:val="single" w:sz="4" w:space="0" w:color="auto"/>
              <w:right w:val="single" w:sz="4" w:space="0" w:color="auto"/>
            </w:tcBorders>
            <w:shd w:val="pct20" w:color="000000" w:fill="FFFFFF"/>
            <w:vAlign w:val="center"/>
          </w:tcPr>
          <w:p w:rsidR="00E77020" w:rsidRPr="005C3DF1" w:rsidRDefault="00E77020" w:rsidP="00141CF2">
            <w:pPr>
              <w:pStyle w:val="Ttulo1"/>
              <w:spacing w:before="40" w:after="40"/>
              <w:rPr>
                <w:b w:val="0"/>
                <w:bCs w:val="0"/>
                <w:sz w:val="22"/>
                <w:szCs w:val="22"/>
              </w:rPr>
            </w:pPr>
            <w:r>
              <w:rPr>
                <w:bCs w:val="0"/>
                <w:sz w:val="22"/>
                <w:szCs w:val="22"/>
              </w:rPr>
              <w:t>CONTENIDOS MÍNIMOS</w:t>
            </w:r>
          </w:p>
        </w:tc>
      </w:tr>
      <w:tr w:rsidR="00E77020" w:rsidRPr="00472D5C" w:rsidTr="00B05525">
        <w:trPr>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rsidR="00E77020" w:rsidRPr="00E9140A" w:rsidRDefault="00E77020" w:rsidP="00E77020">
            <w:pPr>
              <w:spacing w:line="239" w:lineRule="auto"/>
              <w:rPr>
                <w:b/>
                <w:sz w:val="22"/>
              </w:rPr>
            </w:pPr>
            <w:r w:rsidRPr="00E9140A">
              <w:rPr>
                <w:b/>
                <w:sz w:val="22"/>
              </w:rPr>
              <w:t>1.- Búsqueda activa de empleo.</w:t>
            </w:r>
          </w:p>
          <w:p w:rsidR="00E77020" w:rsidRPr="00E9140A" w:rsidRDefault="00E77020" w:rsidP="00E77020">
            <w:pPr>
              <w:spacing w:line="24" w:lineRule="exact"/>
              <w:rPr>
                <w:sz w:val="22"/>
              </w:rPr>
            </w:pPr>
          </w:p>
          <w:p w:rsidR="00E77020" w:rsidRPr="00E9140A" w:rsidRDefault="00E77020" w:rsidP="00D3772C">
            <w:pPr>
              <w:numPr>
                <w:ilvl w:val="0"/>
                <w:numId w:val="1"/>
              </w:numPr>
              <w:tabs>
                <w:tab w:val="left" w:pos="518"/>
              </w:tabs>
              <w:spacing w:line="228" w:lineRule="auto"/>
              <w:ind w:left="363" w:right="23"/>
              <w:jc w:val="both"/>
              <w:rPr>
                <w:rFonts w:ascii="Symbol" w:eastAsia="Symbol" w:hAnsi="Symbol"/>
                <w:sz w:val="22"/>
              </w:rPr>
            </w:pPr>
            <w:r w:rsidRPr="00E9140A">
              <w:rPr>
                <w:sz w:val="22"/>
              </w:rPr>
              <w:t xml:space="preserve">Valoración de la importancia de la formación permanente para la trayectoria laboral y profesional del Técnico de </w:t>
            </w:r>
            <w:r w:rsidR="00D3772C">
              <w:rPr>
                <w:sz w:val="22"/>
              </w:rPr>
              <w:t>Desarrollo de Aplicaciones Web</w:t>
            </w:r>
            <w:r w:rsidRPr="00E9140A">
              <w:rPr>
                <w:sz w:val="22"/>
              </w:rPr>
              <w:t>.</w:t>
            </w:r>
          </w:p>
          <w:p w:rsidR="00E77020" w:rsidRPr="00E9140A" w:rsidRDefault="00E77020" w:rsidP="00E77020">
            <w:pPr>
              <w:spacing w:line="1" w:lineRule="exact"/>
              <w:rPr>
                <w:rFonts w:ascii="Symbol" w:eastAsia="Symbol" w:hAnsi="Symbol"/>
                <w:sz w:val="22"/>
              </w:rPr>
            </w:pPr>
          </w:p>
          <w:p w:rsidR="00E77020" w:rsidRPr="00E9140A" w:rsidRDefault="00E77020" w:rsidP="00E77020">
            <w:pPr>
              <w:numPr>
                <w:ilvl w:val="0"/>
                <w:numId w:val="1"/>
              </w:numPr>
              <w:tabs>
                <w:tab w:val="left" w:pos="520"/>
              </w:tabs>
              <w:spacing w:line="239" w:lineRule="auto"/>
              <w:ind w:left="520" w:hanging="158"/>
              <w:jc w:val="both"/>
              <w:rPr>
                <w:rFonts w:ascii="Symbol" w:eastAsia="Symbol" w:hAnsi="Symbol"/>
                <w:sz w:val="22"/>
              </w:rPr>
            </w:pPr>
            <w:r w:rsidRPr="00E9140A">
              <w:rPr>
                <w:sz w:val="22"/>
              </w:rPr>
              <w:t>La Formación Profesional para el empleo.</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1"/>
              </w:numPr>
              <w:tabs>
                <w:tab w:val="left" w:pos="520"/>
              </w:tabs>
              <w:spacing w:line="224" w:lineRule="auto"/>
              <w:ind w:left="520" w:hanging="158"/>
              <w:jc w:val="both"/>
              <w:rPr>
                <w:rFonts w:ascii="Symbol" w:eastAsia="Symbol" w:hAnsi="Symbol"/>
                <w:sz w:val="22"/>
              </w:rPr>
            </w:pPr>
            <w:r w:rsidRPr="00E9140A">
              <w:rPr>
                <w:sz w:val="22"/>
              </w:rPr>
              <w:t>Análisis de los intereses, aptitudes y motivaciones personales para la carrera profesional.</w:t>
            </w:r>
          </w:p>
          <w:p w:rsidR="00E77020" w:rsidRPr="00E9140A" w:rsidRDefault="00E77020" w:rsidP="00E77020">
            <w:pPr>
              <w:pStyle w:val="Prrafodelista"/>
              <w:rPr>
                <w:rFonts w:ascii="Symbol" w:eastAsia="Symbol" w:hAnsi="Symbol"/>
                <w:sz w:val="22"/>
              </w:rPr>
            </w:pPr>
          </w:p>
          <w:p w:rsidR="00E77020" w:rsidRPr="00E9140A" w:rsidRDefault="00E77020" w:rsidP="00E77020">
            <w:pPr>
              <w:spacing w:line="239" w:lineRule="auto"/>
              <w:rPr>
                <w:b/>
                <w:sz w:val="22"/>
              </w:rPr>
            </w:pPr>
            <w:r w:rsidRPr="00E9140A">
              <w:rPr>
                <w:b/>
                <w:sz w:val="22"/>
              </w:rPr>
              <w:t>5.-Evaluación de riesgos profesionales:</w:t>
            </w:r>
          </w:p>
          <w:p w:rsidR="00E77020" w:rsidRPr="00E9140A" w:rsidRDefault="00E77020" w:rsidP="00E77020">
            <w:pPr>
              <w:numPr>
                <w:ilvl w:val="0"/>
                <w:numId w:val="2"/>
              </w:numPr>
              <w:tabs>
                <w:tab w:val="left" w:pos="520"/>
              </w:tabs>
              <w:spacing w:line="239" w:lineRule="auto"/>
              <w:ind w:left="520" w:hanging="158"/>
              <w:jc w:val="both"/>
              <w:rPr>
                <w:rFonts w:ascii="Symbol" w:eastAsia="Symbol" w:hAnsi="Symbol"/>
                <w:sz w:val="22"/>
              </w:rPr>
            </w:pPr>
            <w:r w:rsidRPr="00E9140A">
              <w:rPr>
                <w:sz w:val="22"/>
              </w:rPr>
              <w:t>Importancia de la cultura preventiva en todas las fases de la actividad laboral.</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2"/>
              </w:numPr>
              <w:tabs>
                <w:tab w:val="left" w:pos="520"/>
              </w:tabs>
              <w:spacing w:line="221" w:lineRule="auto"/>
              <w:ind w:left="520" w:hanging="158"/>
              <w:jc w:val="both"/>
              <w:rPr>
                <w:rFonts w:ascii="Symbol" w:eastAsia="Symbol" w:hAnsi="Symbol"/>
                <w:sz w:val="22"/>
              </w:rPr>
            </w:pPr>
            <w:r w:rsidRPr="00E9140A">
              <w:rPr>
                <w:sz w:val="22"/>
              </w:rPr>
              <w:t>Valoración de la relación entre trabajo y salud.</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2"/>
              </w:numPr>
              <w:tabs>
                <w:tab w:val="left" w:pos="520"/>
              </w:tabs>
              <w:spacing w:line="224" w:lineRule="auto"/>
              <w:ind w:left="520" w:hanging="158"/>
              <w:jc w:val="both"/>
              <w:rPr>
                <w:rFonts w:ascii="Symbol" w:eastAsia="Symbol" w:hAnsi="Symbol"/>
                <w:sz w:val="22"/>
              </w:rPr>
            </w:pPr>
            <w:r w:rsidRPr="00E9140A">
              <w:rPr>
                <w:sz w:val="22"/>
              </w:rPr>
              <w:t>Análisis y determinación de las condiciones de trabajo.</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2"/>
              </w:numPr>
              <w:tabs>
                <w:tab w:val="left" w:pos="520"/>
              </w:tabs>
              <w:spacing w:line="224" w:lineRule="auto"/>
              <w:ind w:left="520" w:hanging="158"/>
              <w:jc w:val="both"/>
              <w:rPr>
                <w:rFonts w:ascii="Symbol" w:eastAsia="Symbol" w:hAnsi="Symbol"/>
                <w:sz w:val="22"/>
              </w:rPr>
            </w:pPr>
            <w:r w:rsidRPr="00E9140A">
              <w:rPr>
                <w:sz w:val="22"/>
              </w:rPr>
              <w:t>El concepto de riesgo profesional. Análisis de factores de riesgo.</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2"/>
              </w:numPr>
              <w:tabs>
                <w:tab w:val="left" w:pos="520"/>
              </w:tabs>
              <w:spacing w:line="224" w:lineRule="auto"/>
              <w:ind w:left="520" w:hanging="158"/>
              <w:jc w:val="both"/>
              <w:rPr>
                <w:rFonts w:ascii="Symbol" w:eastAsia="Symbol" w:hAnsi="Symbol"/>
                <w:sz w:val="22"/>
              </w:rPr>
            </w:pPr>
            <w:r w:rsidRPr="00E9140A">
              <w:rPr>
                <w:sz w:val="22"/>
              </w:rPr>
              <w:t>La evaluación de riesgos en la empresa como elemento básico de la actividad preventiva.</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2"/>
              </w:numPr>
              <w:tabs>
                <w:tab w:val="left" w:pos="520"/>
              </w:tabs>
              <w:spacing w:line="224" w:lineRule="auto"/>
              <w:ind w:left="520" w:hanging="158"/>
              <w:jc w:val="both"/>
              <w:rPr>
                <w:rFonts w:ascii="Symbol" w:eastAsia="Symbol" w:hAnsi="Symbol"/>
                <w:sz w:val="22"/>
              </w:rPr>
            </w:pPr>
            <w:r w:rsidRPr="00E9140A">
              <w:rPr>
                <w:sz w:val="22"/>
              </w:rPr>
              <w:t>Análisis de riesgos ligados a las condiciones de seguridad.</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2"/>
              </w:numPr>
              <w:tabs>
                <w:tab w:val="left" w:pos="520"/>
              </w:tabs>
              <w:spacing w:line="221" w:lineRule="auto"/>
              <w:ind w:left="520" w:hanging="158"/>
              <w:jc w:val="both"/>
              <w:rPr>
                <w:rFonts w:ascii="Symbol" w:eastAsia="Symbol" w:hAnsi="Symbol"/>
                <w:sz w:val="22"/>
              </w:rPr>
            </w:pPr>
            <w:r w:rsidRPr="00E9140A">
              <w:rPr>
                <w:sz w:val="22"/>
              </w:rPr>
              <w:t>Análisis de riesgos ligados a las condiciones ambientales.</w:t>
            </w:r>
          </w:p>
          <w:p w:rsidR="00E77020" w:rsidRPr="00E9140A" w:rsidRDefault="00E77020" w:rsidP="00E77020">
            <w:pPr>
              <w:spacing w:line="25" w:lineRule="exact"/>
              <w:rPr>
                <w:rFonts w:ascii="Symbol" w:eastAsia="Symbol" w:hAnsi="Symbol"/>
                <w:sz w:val="22"/>
              </w:rPr>
            </w:pPr>
          </w:p>
          <w:p w:rsidR="00E77020" w:rsidRPr="00E9140A" w:rsidRDefault="00E77020" w:rsidP="00E9140A">
            <w:pPr>
              <w:numPr>
                <w:ilvl w:val="0"/>
                <w:numId w:val="2"/>
              </w:numPr>
              <w:tabs>
                <w:tab w:val="left" w:pos="518"/>
              </w:tabs>
              <w:spacing w:line="228" w:lineRule="auto"/>
              <w:ind w:left="363" w:right="119"/>
              <w:jc w:val="both"/>
              <w:rPr>
                <w:rFonts w:ascii="Symbol" w:eastAsia="Symbol" w:hAnsi="Symbol"/>
                <w:sz w:val="22"/>
              </w:rPr>
            </w:pPr>
            <w:r w:rsidRPr="00E9140A">
              <w:rPr>
                <w:sz w:val="22"/>
              </w:rPr>
              <w:t>Análisis de riesgos ligados a las condiciones ergonómicas de y psicosociales. La motivación como factor determinante de satisfacción e insatisfacción laboral.</w:t>
            </w:r>
          </w:p>
          <w:p w:rsidR="00E77020" w:rsidRPr="00E9140A" w:rsidRDefault="00E77020" w:rsidP="00E77020">
            <w:pPr>
              <w:spacing w:line="1" w:lineRule="exact"/>
              <w:rPr>
                <w:rFonts w:ascii="Symbol" w:eastAsia="Symbol" w:hAnsi="Symbol"/>
                <w:sz w:val="22"/>
              </w:rPr>
            </w:pPr>
          </w:p>
          <w:p w:rsidR="00E77020" w:rsidRPr="00E9140A" w:rsidRDefault="00E77020" w:rsidP="00E77020">
            <w:pPr>
              <w:numPr>
                <w:ilvl w:val="0"/>
                <w:numId w:val="2"/>
              </w:numPr>
              <w:tabs>
                <w:tab w:val="left" w:pos="520"/>
              </w:tabs>
              <w:spacing w:line="239" w:lineRule="auto"/>
              <w:ind w:left="520" w:hanging="158"/>
              <w:jc w:val="both"/>
              <w:rPr>
                <w:rFonts w:ascii="Symbol" w:eastAsia="Symbol" w:hAnsi="Symbol"/>
                <w:sz w:val="22"/>
              </w:rPr>
            </w:pPr>
            <w:r w:rsidRPr="00E9140A">
              <w:rPr>
                <w:sz w:val="22"/>
              </w:rPr>
              <w:t xml:space="preserve">Riesgos específicos en </w:t>
            </w:r>
            <w:r w:rsidR="00D3772C">
              <w:rPr>
                <w:sz w:val="22"/>
              </w:rPr>
              <w:t>Desarrollo de Aplicaciones Web</w:t>
            </w:r>
            <w:r w:rsidRPr="00E9140A">
              <w:rPr>
                <w:sz w:val="22"/>
              </w:rPr>
              <w:t>.</w:t>
            </w:r>
          </w:p>
          <w:p w:rsidR="00E77020" w:rsidRPr="00E9140A" w:rsidRDefault="00E77020" w:rsidP="00E77020">
            <w:pPr>
              <w:spacing w:line="25" w:lineRule="exact"/>
              <w:rPr>
                <w:rFonts w:ascii="Symbol" w:eastAsia="Symbol" w:hAnsi="Symbol"/>
                <w:sz w:val="22"/>
              </w:rPr>
            </w:pPr>
          </w:p>
          <w:p w:rsidR="00E77020" w:rsidRPr="00E9140A" w:rsidRDefault="00E77020" w:rsidP="00E9140A">
            <w:pPr>
              <w:pStyle w:val="Prrafodelista"/>
              <w:numPr>
                <w:ilvl w:val="0"/>
                <w:numId w:val="8"/>
              </w:numPr>
              <w:tabs>
                <w:tab w:val="left" w:pos="518"/>
              </w:tabs>
              <w:ind w:left="357" w:firstLine="0"/>
              <w:jc w:val="both"/>
              <w:rPr>
                <w:rFonts w:ascii="Symbol" w:eastAsia="Symbol" w:hAnsi="Symbol"/>
                <w:sz w:val="22"/>
              </w:rPr>
            </w:pPr>
            <w:r w:rsidRPr="00E9140A">
              <w:rPr>
                <w:sz w:val="22"/>
              </w:rPr>
              <w:t>Determinación de los posibles daños a la salud del trabajador que pued</w:t>
            </w:r>
            <w:r w:rsidR="00E9140A">
              <w:rPr>
                <w:sz w:val="22"/>
              </w:rPr>
              <w:t xml:space="preserve">en derivarse de las situaciones </w:t>
            </w:r>
            <w:r w:rsidRPr="00E9140A">
              <w:rPr>
                <w:sz w:val="22"/>
              </w:rPr>
              <w:t>de riesgo detectadas. Estudio específico del accidente de trabajo y de la enfermedad profesional.</w:t>
            </w:r>
          </w:p>
          <w:p w:rsidR="00E77020" w:rsidRPr="00E9140A" w:rsidRDefault="00E77020" w:rsidP="00E77020">
            <w:pPr>
              <w:spacing w:line="231" w:lineRule="exact"/>
              <w:rPr>
                <w:sz w:val="22"/>
              </w:rPr>
            </w:pPr>
          </w:p>
          <w:p w:rsidR="00E77020" w:rsidRPr="00E9140A" w:rsidRDefault="00E77020" w:rsidP="00E77020">
            <w:pPr>
              <w:tabs>
                <w:tab w:val="left" w:pos="4000"/>
              </w:tabs>
              <w:spacing w:line="0" w:lineRule="atLeast"/>
              <w:rPr>
                <w:b/>
                <w:sz w:val="18"/>
              </w:rPr>
            </w:pPr>
            <w:r w:rsidRPr="00E9140A">
              <w:rPr>
                <w:b/>
                <w:sz w:val="22"/>
              </w:rPr>
              <w:t>6.-Planificación de la prevención de riesgos en la empresa</w:t>
            </w:r>
            <w:r w:rsidRPr="00E9140A">
              <w:rPr>
                <w:b/>
                <w:sz w:val="18"/>
              </w:rPr>
              <w:t>:</w:t>
            </w:r>
          </w:p>
          <w:p w:rsidR="00E77020" w:rsidRPr="00E9140A" w:rsidRDefault="00E77020" w:rsidP="00E77020">
            <w:pPr>
              <w:numPr>
                <w:ilvl w:val="0"/>
                <w:numId w:val="3"/>
              </w:numPr>
              <w:tabs>
                <w:tab w:val="left" w:pos="520"/>
              </w:tabs>
              <w:spacing w:line="239" w:lineRule="auto"/>
              <w:ind w:left="520" w:hanging="158"/>
              <w:jc w:val="both"/>
              <w:rPr>
                <w:rFonts w:ascii="Symbol" w:eastAsia="Symbol" w:hAnsi="Symbol"/>
                <w:sz w:val="22"/>
              </w:rPr>
            </w:pPr>
            <w:r w:rsidRPr="00E9140A">
              <w:rPr>
                <w:sz w:val="22"/>
              </w:rPr>
              <w:t>Normativa básica en materia de prevención de riesgos laborales.</w:t>
            </w:r>
          </w:p>
          <w:p w:rsidR="00E77020" w:rsidRPr="00E9140A" w:rsidRDefault="00E77020" w:rsidP="00E77020">
            <w:pPr>
              <w:spacing w:line="24" w:lineRule="exact"/>
              <w:rPr>
                <w:rFonts w:ascii="Symbol" w:eastAsia="Symbol" w:hAnsi="Symbol"/>
                <w:sz w:val="22"/>
              </w:rPr>
            </w:pPr>
          </w:p>
          <w:p w:rsidR="00E77020" w:rsidRPr="00E9140A" w:rsidRDefault="00E77020" w:rsidP="00E77020">
            <w:pPr>
              <w:numPr>
                <w:ilvl w:val="0"/>
                <w:numId w:val="3"/>
              </w:numPr>
              <w:tabs>
                <w:tab w:val="left" w:pos="518"/>
              </w:tabs>
              <w:spacing w:line="227" w:lineRule="auto"/>
              <w:ind w:left="720" w:right="60" w:hanging="358"/>
              <w:jc w:val="both"/>
              <w:rPr>
                <w:rFonts w:ascii="Symbol" w:eastAsia="Symbol" w:hAnsi="Symbol"/>
                <w:sz w:val="22"/>
              </w:rPr>
            </w:pPr>
            <w:r w:rsidRPr="00E9140A">
              <w:rPr>
                <w:sz w:val="22"/>
              </w:rPr>
              <w:t>Derechos y deberes en materia de prevención de riesgos laborales. Protección de colectivos específicos.</w:t>
            </w:r>
          </w:p>
          <w:p w:rsidR="00E77020" w:rsidRPr="00E9140A" w:rsidRDefault="00E77020" w:rsidP="00E77020">
            <w:pPr>
              <w:spacing w:line="1" w:lineRule="exact"/>
              <w:rPr>
                <w:rFonts w:ascii="Symbol" w:eastAsia="Symbol" w:hAnsi="Symbol"/>
                <w:sz w:val="22"/>
              </w:rPr>
            </w:pPr>
          </w:p>
          <w:p w:rsidR="00E77020" w:rsidRPr="00E9140A" w:rsidRDefault="00E77020" w:rsidP="00E77020">
            <w:pPr>
              <w:numPr>
                <w:ilvl w:val="0"/>
                <w:numId w:val="3"/>
              </w:numPr>
              <w:tabs>
                <w:tab w:val="left" w:pos="520"/>
              </w:tabs>
              <w:spacing w:line="237" w:lineRule="auto"/>
              <w:ind w:left="520" w:hanging="158"/>
              <w:jc w:val="both"/>
              <w:rPr>
                <w:rFonts w:ascii="Symbol" w:eastAsia="Symbol" w:hAnsi="Symbol"/>
                <w:sz w:val="22"/>
              </w:rPr>
            </w:pPr>
            <w:r w:rsidRPr="00E9140A">
              <w:rPr>
                <w:sz w:val="22"/>
              </w:rPr>
              <w:t>Responsabilidades en materia de prevención de riesgos laborales.</w:t>
            </w:r>
          </w:p>
          <w:p w:rsidR="00E77020" w:rsidRPr="00E9140A" w:rsidRDefault="00E77020" w:rsidP="00E77020">
            <w:pPr>
              <w:numPr>
                <w:ilvl w:val="0"/>
                <w:numId w:val="4"/>
              </w:numPr>
              <w:tabs>
                <w:tab w:val="left" w:pos="640"/>
              </w:tabs>
              <w:spacing w:line="0" w:lineRule="atLeast"/>
              <w:ind w:left="640" w:hanging="158"/>
              <w:jc w:val="both"/>
              <w:rPr>
                <w:rFonts w:ascii="Symbol" w:eastAsia="Symbol" w:hAnsi="Symbol"/>
                <w:sz w:val="22"/>
              </w:rPr>
            </w:pPr>
            <w:r w:rsidRPr="00E9140A">
              <w:rPr>
                <w:sz w:val="22"/>
              </w:rPr>
              <w:t>Gestión de la prevención en la empresa.</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4"/>
              </w:numPr>
              <w:tabs>
                <w:tab w:val="left" w:pos="640"/>
              </w:tabs>
              <w:spacing w:line="224" w:lineRule="auto"/>
              <w:ind w:left="640" w:hanging="158"/>
              <w:jc w:val="both"/>
              <w:rPr>
                <w:rFonts w:ascii="Symbol" w:eastAsia="Symbol" w:hAnsi="Symbol"/>
                <w:sz w:val="22"/>
              </w:rPr>
            </w:pPr>
            <w:r w:rsidRPr="00E9140A">
              <w:rPr>
                <w:sz w:val="22"/>
              </w:rPr>
              <w:t>Funciones específicas de nivel básico en prevención de riesgos laborales.</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4"/>
              </w:numPr>
              <w:tabs>
                <w:tab w:val="left" w:pos="640"/>
              </w:tabs>
              <w:spacing w:line="224" w:lineRule="auto"/>
              <w:ind w:left="640" w:hanging="158"/>
              <w:jc w:val="both"/>
              <w:rPr>
                <w:rFonts w:ascii="Symbol" w:eastAsia="Symbol" w:hAnsi="Symbol"/>
                <w:sz w:val="22"/>
              </w:rPr>
            </w:pPr>
            <w:r w:rsidRPr="00E9140A">
              <w:rPr>
                <w:sz w:val="22"/>
              </w:rPr>
              <w:t>Representación de los trabajadores en materia preventiva.</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4"/>
              </w:numPr>
              <w:tabs>
                <w:tab w:val="left" w:pos="640"/>
              </w:tabs>
              <w:spacing w:line="224" w:lineRule="auto"/>
              <w:ind w:left="640" w:hanging="158"/>
              <w:jc w:val="both"/>
              <w:rPr>
                <w:rFonts w:ascii="Symbol" w:eastAsia="Symbol" w:hAnsi="Symbol"/>
                <w:sz w:val="22"/>
              </w:rPr>
            </w:pPr>
            <w:r w:rsidRPr="00E9140A">
              <w:rPr>
                <w:sz w:val="22"/>
              </w:rPr>
              <w:t>Organismos públicos relacionados con la prevención de riesgos laborales.</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4"/>
              </w:numPr>
              <w:tabs>
                <w:tab w:val="left" w:pos="640"/>
              </w:tabs>
              <w:spacing w:line="224" w:lineRule="auto"/>
              <w:ind w:left="640" w:hanging="158"/>
              <w:jc w:val="both"/>
              <w:rPr>
                <w:rFonts w:ascii="Symbol" w:eastAsia="Symbol" w:hAnsi="Symbol"/>
                <w:sz w:val="22"/>
              </w:rPr>
            </w:pPr>
            <w:r w:rsidRPr="00E9140A">
              <w:rPr>
                <w:sz w:val="22"/>
              </w:rPr>
              <w:t>Planificación de la prevención en la empresa.</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4"/>
              </w:numPr>
              <w:tabs>
                <w:tab w:val="left" w:pos="640"/>
              </w:tabs>
              <w:spacing w:line="224" w:lineRule="auto"/>
              <w:ind w:left="640" w:hanging="158"/>
              <w:jc w:val="both"/>
              <w:rPr>
                <w:rFonts w:ascii="Symbol" w:eastAsia="Symbol" w:hAnsi="Symbol"/>
                <w:sz w:val="22"/>
              </w:rPr>
            </w:pPr>
            <w:r w:rsidRPr="00E9140A">
              <w:rPr>
                <w:sz w:val="22"/>
              </w:rPr>
              <w:t>Planes de emergencia y de evacuación en entornos de trabajo</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4"/>
              </w:numPr>
              <w:tabs>
                <w:tab w:val="left" w:pos="640"/>
              </w:tabs>
              <w:spacing w:line="221" w:lineRule="auto"/>
              <w:ind w:left="640" w:hanging="158"/>
              <w:jc w:val="both"/>
              <w:rPr>
                <w:rFonts w:ascii="Symbol" w:eastAsia="Symbol" w:hAnsi="Symbol"/>
                <w:sz w:val="22"/>
              </w:rPr>
            </w:pPr>
            <w:r w:rsidRPr="00E9140A">
              <w:rPr>
                <w:sz w:val="22"/>
              </w:rPr>
              <w:t>Elaboración de un plan de emergencia en una pequeña y mediana empresa.</w:t>
            </w:r>
          </w:p>
          <w:p w:rsidR="00E77020" w:rsidRPr="00E9140A" w:rsidRDefault="00E77020" w:rsidP="00E77020">
            <w:pPr>
              <w:spacing w:line="233" w:lineRule="exact"/>
              <w:rPr>
                <w:sz w:val="22"/>
              </w:rPr>
            </w:pPr>
          </w:p>
          <w:p w:rsidR="00E77020" w:rsidRPr="00E9140A" w:rsidRDefault="00E77020" w:rsidP="00E77020">
            <w:pPr>
              <w:tabs>
                <w:tab w:val="left" w:pos="4480"/>
              </w:tabs>
              <w:spacing w:line="0" w:lineRule="atLeast"/>
              <w:ind w:left="120"/>
              <w:rPr>
                <w:b/>
                <w:sz w:val="18"/>
              </w:rPr>
            </w:pPr>
            <w:r w:rsidRPr="00E9140A">
              <w:rPr>
                <w:b/>
                <w:sz w:val="22"/>
              </w:rPr>
              <w:t>7.-Aplicación de medidas de prevención y protección</w:t>
            </w:r>
            <w:r w:rsidRPr="00E9140A">
              <w:rPr>
                <w:sz w:val="22"/>
              </w:rPr>
              <w:t xml:space="preserve"> </w:t>
            </w:r>
            <w:r w:rsidRPr="00E9140A">
              <w:rPr>
                <w:b/>
                <w:sz w:val="22"/>
              </w:rPr>
              <w:t>en la empresa</w:t>
            </w:r>
            <w:r w:rsidRPr="00E9140A">
              <w:rPr>
                <w:b/>
                <w:sz w:val="18"/>
              </w:rPr>
              <w:t>:</w:t>
            </w:r>
          </w:p>
          <w:p w:rsidR="00E77020" w:rsidRPr="00E9140A" w:rsidRDefault="00E77020" w:rsidP="00E77020">
            <w:pPr>
              <w:numPr>
                <w:ilvl w:val="0"/>
                <w:numId w:val="5"/>
              </w:numPr>
              <w:tabs>
                <w:tab w:val="left" w:pos="640"/>
              </w:tabs>
              <w:spacing w:line="239" w:lineRule="auto"/>
              <w:ind w:left="640" w:hanging="158"/>
              <w:jc w:val="both"/>
              <w:rPr>
                <w:rFonts w:ascii="Symbol" w:eastAsia="Symbol" w:hAnsi="Symbol"/>
                <w:sz w:val="22"/>
              </w:rPr>
            </w:pPr>
            <w:r w:rsidRPr="00E9140A">
              <w:rPr>
                <w:sz w:val="22"/>
              </w:rPr>
              <w:t>Determinación de las medidas de prevención y protección individual y colectiva.</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5"/>
              </w:numPr>
              <w:tabs>
                <w:tab w:val="left" w:pos="640"/>
              </w:tabs>
              <w:spacing w:line="224" w:lineRule="auto"/>
              <w:ind w:left="640" w:hanging="158"/>
              <w:jc w:val="both"/>
              <w:rPr>
                <w:rFonts w:ascii="Symbol" w:eastAsia="Symbol" w:hAnsi="Symbol"/>
                <w:sz w:val="22"/>
              </w:rPr>
            </w:pPr>
            <w:r w:rsidRPr="00E9140A">
              <w:rPr>
                <w:sz w:val="22"/>
              </w:rPr>
              <w:t>Señalización de seguridad</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5"/>
              </w:numPr>
              <w:tabs>
                <w:tab w:val="left" w:pos="640"/>
              </w:tabs>
              <w:spacing w:line="221" w:lineRule="auto"/>
              <w:ind w:left="640" w:hanging="158"/>
              <w:jc w:val="both"/>
              <w:rPr>
                <w:rFonts w:ascii="Symbol" w:eastAsia="Symbol" w:hAnsi="Symbol"/>
                <w:sz w:val="22"/>
              </w:rPr>
            </w:pPr>
            <w:r w:rsidRPr="00E9140A">
              <w:rPr>
                <w:sz w:val="22"/>
              </w:rPr>
              <w:t>Protocolo de actuación ante una situación de emergencia.</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5"/>
              </w:numPr>
              <w:tabs>
                <w:tab w:val="left" w:pos="640"/>
              </w:tabs>
              <w:spacing w:line="224" w:lineRule="auto"/>
              <w:ind w:left="640" w:hanging="158"/>
              <w:jc w:val="both"/>
              <w:rPr>
                <w:rFonts w:ascii="Symbol" w:eastAsia="Symbol" w:hAnsi="Symbol"/>
                <w:sz w:val="22"/>
              </w:rPr>
            </w:pPr>
            <w:r w:rsidRPr="00E9140A">
              <w:rPr>
                <w:sz w:val="22"/>
              </w:rPr>
              <w:t>Clasificación y transporte de heridos.</w:t>
            </w:r>
          </w:p>
          <w:p w:rsidR="00E77020" w:rsidRPr="00E9140A" w:rsidRDefault="00E77020" w:rsidP="00E77020">
            <w:pPr>
              <w:spacing w:line="16" w:lineRule="exact"/>
              <w:rPr>
                <w:rFonts w:ascii="Symbol" w:eastAsia="Symbol" w:hAnsi="Symbol"/>
                <w:sz w:val="22"/>
              </w:rPr>
            </w:pPr>
          </w:p>
          <w:p w:rsidR="00E77020" w:rsidRPr="00E9140A" w:rsidRDefault="00E77020" w:rsidP="00E77020">
            <w:pPr>
              <w:numPr>
                <w:ilvl w:val="0"/>
                <w:numId w:val="5"/>
              </w:numPr>
              <w:tabs>
                <w:tab w:val="left" w:pos="640"/>
              </w:tabs>
              <w:spacing w:line="224" w:lineRule="auto"/>
              <w:ind w:left="640" w:hanging="158"/>
              <w:jc w:val="both"/>
              <w:rPr>
                <w:rFonts w:ascii="Symbol" w:eastAsia="Symbol" w:hAnsi="Symbol"/>
                <w:sz w:val="22"/>
              </w:rPr>
            </w:pPr>
            <w:r w:rsidRPr="00E9140A">
              <w:rPr>
                <w:sz w:val="22"/>
              </w:rPr>
              <w:t>Técnicas Básicas de Primeros auxilios.</w:t>
            </w:r>
          </w:p>
          <w:p w:rsidR="00E77020" w:rsidRPr="00E9140A" w:rsidRDefault="00E77020" w:rsidP="00E77020">
            <w:pPr>
              <w:spacing w:line="24" w:lineRule="exact"/>
              <w:rPr>
                <w:rFonts w:ascii="Symbol" w:eastAsia="Symbol" w:hAnsi="Symbol"/>
                <w:sz w:val="22"/>
              </w:rPr>
            </w:pPr>
          </w:p>
          <w:p w:rsidR="00E77020" w:rsidRPr="00E9140A" w:rsidRDefault="00E77020" w:rsidP="00E77020">
            <w:pPr>
              <w:numPr>
                <w:ilvl w:val="0"/>
                <w:numId w:val="5"/>
              </w:numPr>
              <w:tabs>
                <w:tab w:val="left" w:pos="638"/>
              </w:tabs>
              <w:spacing w:line="227" w:lineRule="auto"/>
              <w:ind w:left="840" w:right="480" w:hanging="358"/>
              <w:jc w:val="both"/>
              <w:rPr>
                <w:rFonts w:ascii="Symbol" w:eastAsia="Symbol" w:hAnsi="Symbol"/>
                <w:sz w:val="22"/>
              </w:rPr>
            </w:pPr>
            <w:r w:rsidRPr="00E9140A">
              <w:rPr>
                <w:sz w:val="22"/>
              </w:rPr>
              <w:t>Formación a los trabajadores en materia de planes de emergencia y aplicación de técnicas de primeros auxilios.</w:t>
            </w:r>
          </w:p>
          <w:p w:rsidR="00E77020" w:rsidRPr="00E9140A" w:rsidRDefault="00E77020" w:rsidP="00E77020">
            <w:pPr>
              <w:spacing w:line="1" w:lineRule="exact"/>
              <w:rPr>
                <w:rFonts w:ascii="Symbol" w:eastAsia="Symbol" w:hAnsi="Symbol"/>
                <w:sz w:val="22"/>
              </w:rPr>
            </w:pPr>
          </w:p>
          <w:p w:rsidR="00E77020" w:rsidRPr="00E9140A" w:rsidRDefault="00E77020" w:rsidP="00E77020">
            <w:pPr>
              <w:numPr>
                <w:ilvl w:val="0"/>
                <w:numId w:val="5"/>
              </w:numPr>
              <w:tabs>
                <w:tab w:val="left" w:pos="640"/>
              </w:tabs>
              <w:spacing w:line="237" w:lineRule="auto"/>
              <w:ind w:left="640" w:hanging="158"/>
              <w:jc w:val="both"/>
              <w:rPr>
                <w:rFonts w:ascii="Symbol" w:eastAsia="Symbol" w:hAnsi="Symbol"/>
                <w:sz w:val="22"/>
              </w:rPr>
            </w:pPr>
            <w:r w:rsidRPr="00E9140A">
              <w:rPr>
                <w:sz w:val="22"/>
              </w:rPr>
              <w:t>Vigilancia de la salud de los trabajadores.</w:t>
            </w:r>
          </w:p>
          <w:p w:rsidR="00E77020" w:rsidRPr="00472D5C" w:rsidRDefault="00E77020" w:rsidP="00141CF2">
            <w:pPr>
              <w:jc w:val="both"/>
              <w:rPr>
                <w:bCs/>
                <w:sz w:val="22"/>
                <w:szCs w:val="22"/>
              </w:rPr>
            </w:pPr>
          </w:p>
        </w:tc>
      </w:tr>
      <w:tr w:rsidR="00E77020" w:rsidRPr="00472D5C" w:rsidTr="00B05525">
        <w:trPr>
          <w:jc w:val="center"/>
        </w:trPr>
        <w:tc>
          <w:tcPr>
            <w:tcW w:w="9540" w:type="dxa"/>
            <w:gridSpan w:val="6"/>
            <w:tcBorders>
              <w:top w:val="single" w:sz="4" w:space="0" w:color="auto"/>
              <w:left w:val="single" w:sz="4" w:space="0" w:color="auto"/>
              <w:bottom w:val="single" w:sz="4" w:space="0" w:color="auto"/>
              <w:right w:val="single" w:sz="4" w:space="0" w:color="auto"/>
            </w:tcBorders>
            <w:shd w:val="pct20" w:color="000000" w:fill="FFFFFF"/>
            <w:vAlign w:val="center"/>
          </w:tcPr>
          <w:p w:rsidR="00E77020" w:rsidRPr="00E77020" w:rsidRDefault="00E77020" w:rsidP="00141CF2">
            <w:pPr>
              <w:pStyle w:val="Ttulo1"/>
              <w:spacing w:before="40" w:after="40"/>
              <w:rPr>
                <w:bCs w:val="0"/>
                <w:sz w:val="22"/>
                <w:szCs w:val="22"/>
              </w:rPr>
            </w:pPr>
            <w:r>
              <w:rPr>
                <w:bCs w:val="0"/>
                <w:sz w:val="22"/>
                <w:szCs w:val="22"/>
              </w:rPr>
              <w:lastRenderedPageBreak/>
              <w:t>TEMARIO PARA IMPARTIR 3º TRIMESTRE</w:t>
            </w:r>
          </w:p>
        </w:tc>
      </w:tr>
      <w:tr w:rsidR="00E77020" w:rsidRPr="00472D5C" w:rsidTr="00B05525">
        <w:trPr>
          <w:cantSplit/>
          <w:jc w:val="center"/>
        </w:trPr>
        <w:tc>
          <w:tcPr>
            <w:tcW w:w="9540" w:type="dxa"/>
            <w:gridSpan w:val="6"/>
            <w:tcBorders>
              <w:top w:val="single" w:sz="4" w:space="0" w:color="auto"/>
              <w:left w:val="single" w:sz="4" w:space="0" w:color="auto"/>
              <w:bottom w:val="single" w:sz="4" w:space="0" w:color="auto"/>
              <w:right w:val="single" w:sz="4" w:space="0" w:color="auto"/>
            </w:tcBorders>
          </w:tcPr>
          <w:p w:rsidR="00E77020" w:rsidRPr="00E9140A" w:rsidRDefault="00E77020" w:rsidP="00E77020">
            <w:pPr>
              <w:pStyle w:val="Prrafodelista"/>
              <w:numPr>
                <w:ilvl w:val="0"/>
                <w:numId w:val="6"/>
              </w:numPr>
              <w:rPr>
                <w:sz w:val="22"/>
              </w:rPr>
            </w:pPr>
            <w:r w:rsidRPr="00E9140A">
              <w:rPr>
                <w:sz w:val="22"/>
              </w:rPr>
              <w:t>Conceptos básicos sobre seguridad y salud.*</w:t>
            </w:r>
          </w:p>
          <w:p w:rsidR="00E77020" w:rsidRPr="00E9140A" w:rsidRDefault="00E77020" w:rsidP="00E77020">
            <w:pPr>
              <w:pStyle w:val="Prrafodelista"/>
              <w:numPr>
                <w:ilvl w:val="0"/>
                <w:numId w:val="6"/>
              </w:numPr>
              <w:rPr>
                <w:sz w:val="22"/>
              </w:rPr>
            </w:pPr>
            <w:r w:rsidRPr="00E9140A">
              <w:rPr>
                <w:sz w:val="22"/>
              </w:rPr>
              <w:t>Riesgos generales y su prevención.*</w:t>
            </w:r>
          </w:p>
          <w:p w:rsidR="00E77020" w:rsidRPr="00E9140A" w:rsidRDefault="00E77020" w:rsidP="00E77020">
            <w:pPr>
              <w:pStyle w:val="Prrafodelista"/>
              <w:numPr>
                <w:ilvl w:val="0"/>
                <w:numId w:val="6"/>
              </w:numPr>
              <w:rPr>
                <w:sz w:val="22"/>
              </w:rPr>
            </w:pPr>
            <w:r w:rsidRPr="00E9140A">
              <w:rPr>
                <w:sz w:val="22"/>
              </w:rPr>
              <w:t>Planificación de la prevención de riesgos.*</w:t>
            </w:r>
          </w:p>
          <w:p w:rsidR="00E77020" w:rsidRPr="00E9140A" w:rsidRDefault="00E77020" w:rsidP="00E77020">
            <w:pPr>
              <w:pStyle w:val="Prrafodelista"/>
              <w:numPr>
                <w:ilvl w:val="0"/>
                <w:numId w:val="6"/>
              </w:numPr>
              <w:rPr>
                <w:sz w:val="22"/>
              </w:rPr>
            </w:pPr>
            <w:r w:rsidRPr="00E9140A">
              <w:rPr>
                <w:sz w:val="22"/>
              </w:rPr>
              <w:t>Primeros auxilios en la empresa.</w:t>
            </w:r>
          </w:p>
          <w:p w:rsidR="00E77020" w:rsidRPr="00E9140A" w:rsidRDefault="00E77020" w:rsidP="00E77020">
            <w:pPr>
              <w:pStyle w:val="Prrafodelista"/>
              <w:numPr>
                <w:ilvl w:val="0"/>
                <w:numId w:val="6"/>
              </w:numPr>
              <w:rPr>
                <w:sz w:val="22"/>
              </w:rPr>
            </w:pPr>
            <w:r w:rsidRPr="00E9140A">
              <w:rPr>
                <w:sz w:val="22"/>
              </w:rPr>
              <w:t>El mercado de trabajo.</w:t>
            </w:r>
          </w:p>
          <w:p w:rsidR="00E77020" w:rsidRPr="00E9140A" w:rsidRDefault="00E77020" w:rsidP="00E77020">
            <w:pPr>
              <w:pStyle w:val="Prrafodelista"/>
              <w:numPr>
                <w:ilvl w:val="0"/>
                <w:numId w:val="6"/>
              </w:numPr>
              <w:rPr>
                <w:sz w:val="22"/>
              </w:rPr>
            </w:pPr>
            <w:r w:rsidRPr="00E9140A">
              <w:rPr>
                <w:sz w:val="22"/>
              </w:rPr>
              <w:t>Técnicas de búsqueda de empleo.</w:t>
            </w:r>
          </w:p>
          <w:p w:rsidR="00E77020" w:rsidRDefault="00E77020" w:rsidP="00E77020"/>
          <w:p w:rsidR="00B05525" w:rsidRDefault="00E77020" w:rsidP="00B05525">
            <w:pPr>
              <w:jc w:val="both"/>
              <w:rPr>
                <w:i/>
                <w:sz w:val="20"/>
                <w:szCs w:val="20"/>
              </w:rPr>
            </w:pPr>
            <w:r>
              <w:t xml:space="preserve">* </w:t>
            </w:r>
            <w:r>
              <w:rPr>
                <w:i/>
                <w:sz w:val="20"/>
                <w:szCs w:val="20"/>
              </w:rPr>
              <w:t>Para facilitar el estudio a los alumnos, estos tres t</w:t>
            </w:r>
            <w:r w:rsidR="00B05525">
              <w:rPr>
                <w:i/>
                <w:sz w:val="20"/>
                <w:szCs w:val="20"/>
              </w:rPr>
              <w:t>emas se resumirán y se unificará</w:t>
            </w:r>
            <w:r>
              <w:rPr>
                <w:i/>
                <w:sz w:val="20"/>
                <w:szCs w:val="20"/>
              </w:rPr>
              <w:t>n.</w:t>
            </w:r>
            <w:r w:rsidR="00B05525">
              <w:rPr>
                <w:i/>
                <w:sz w:val="20"/>
                <w:szCs w:val="20"/>
              </w:rPr>
              <w:t xml:space="preserve"> </w:t>
            </w:r>
          </w:p>
          <w:p w:rsidR="00B05525" w:rsidRDefault="00B05525" w:rsidP="00B05525">
            <w:pPr>
              <w:jc w:val="both"/>
              <w:rPr>
                <w:i/>
                <w:sz w:val="20"/>
                <w:szCs w:val="20"/>
              </w:rPr>
            </w:pPr>
          </w:p>
          <w:p w:rsidR="00E77020" w:rsidRPr="00E9140A" w:rsidRDefault="00B05525" w:rsidP="00E9140A">
            <w:pPr>
              <w:jc w:val="both"/>
              <w:rPr>
                <w:i/>
                <w:sz w:val="20"/>
                <w:szCs w:val="20"/>
              </w:rPr>
            </w:pPr>
            <w:r>
              <w:rPr>
                <w:i/>
                <w:sz w:val="20"/>
                <w:szCs w:val="20"/>
              </w:rPr>
              <w:t>Se avanzará en el temario porque resulta imprescindible su evaluación para obtener la titulación de Técnico Básico en Prevención de Riesgos Laborales determinado por la normativa educativa vigente, así como las competencias mínimas que los alumnos deben obtener para superar el módulo de FOL.</w:t>
            </w:r>
          </w:p>
        </w:tc>
      </w:tr>
      <w:tr w:rsidR="00E77020" w:rsidRPr="00472D5C" w:rsidTr="00B05525">
        <w:trPr>
          <w:jc w:val="center"/>
        </w:trPr>
        <w:tc>
          <w:tcPr>
            <w:tcW w:w="9540" w:type="dxa"/>
            <w:gridSpan w:val="6"/>
            <w:tcBorders>
              <w:top w:val="single" w:sz="4" w:space="0" w:color="auto"/>
              <w:left w:val="single" w:sz="4" w:space="0" w:color="auto"/>
              <w:bottom w:val="single" w:sz="4" w:space="0" w:color="auto"/>
              <w:right w:val="single" w:sz="4" w:space="0" w:color="auto"/>
            </w:tcBorders>
            <w:shd w:val="pct20" w:color="000000" w:fill="FFFFFF"/>
            <w:vAlign w:val="center"/>
          </w:tcPr>
          <w:p w:rsidR="00E77020" w:rsidRPr="00E77020" w:rsidRDefault="00E77020" w:rsidP="00E77020">
            <w:pPr>
              <w:pStyle w:val="Ttulo1"/>
              <w:spacing w:before="40" w:after="40"/>
              <w:rPr>
                <w:bCs w:val="0"/>
                <w:sz w:val="22"/>
                <w:szCs w:val="22"/>
              </w:rPr>
            </w:pPr>
            <w:r>
              <w:rPr>
                <w:bCs w:val="0"/>
                <w:sz w:val="22"/>
                <w:szCs w:val="22"/>
              </w:rPr>
              <w:lastRenderedPageBreak/>
              <w:t>CRITERIOS DE EVALUACIÓN Y CALIFICACIÓN</w:t>
            </w:r>
          </w:p>
        </w:tc>
      </w:tr>
      <w:tr w:rsidR="00E77020" w:rsidRPr="00472D5C" w:rsidTr="00B05525">
        <w:trPr>
          <w:cantSplit/>
          <w:jc w:val="center"/>
        </w:trPr>
        <w:tc>
          <w:tcPr>
            <w:tcW w:w="9540" w:type="dxa"/>
            <w:gridSpan w:val="6"/>
            <w:tcBorders>
              <w:top w:val="single" w:sz="4" w:space="0" w:color="auto"/>
              <w:left w:val="single" w:sz="4" w:space="0" w:color="auto"/>
              <w:bottom w:val="single" w:sz="4" w:space="0" w:color="auto"/>
              <w:right w:val="single" w:sz="4" w:space="0" w:color="auto"/>
            </w:tcBorders>
            <w:vAlign w:val="center"/>
          </w:tcPr>
          <w:p w:rsidR="00E77020" w:rsidRPr="00B05525" w:rsidRDefault="00E77020" w:rsidP="00E77020">
            <w:pPr>
              <w:jc w:val="both"/>
              <w:rPr>
                <w:bCs/>
                <w:sz w:val="22"/>
                <w:szCs w:val="22"/>
              </w:rPr>
            </w:pPr>
            <w:r w:rsidRPr="00B05525">
              <w:rPr>
                <w:bCs/>
                <w:sz w:val="22"/>
                <w:szCs w:val="22"/>
              </w:rPr>
              <w:t>Los criterios de evaluación serán los mismos que determina la normativa vigente.</w:t>
            </w:r>
          </w:p>
          <w:p w:rsidR="00E77020" w:rsidRPr="00B05525" w:rsidRDefault="00E77020" w:rsidP="00E77020">
            <w:pPr>
              <w:jc w:val="both"/>
              <w:rPr>
                <w:bCs/>
                <w:sz w:val="22"/>
                <w:szCs w:val="22"/>
              </w:rPr>
            </w:pPr>
          </w:p>
          <w:p w:rsidR="00E77020" w:rsidRDefault="00E77020" w:rsidP="00E77020">
            <w:pPr>
              <w:jc w:val="both"/>
              <w:rPr>
                <w:bCs/>
                <w:sz w:val="22"/>
                <w:szCs w:val="22"/>
              </w:rPr>
            </w:pPr>
            <w:r w:rsidRPr="00DF07E5">
              <w:rPr>
                <w:bCs/>
                <w:sz w:val="22"/>
                <w:szCs w:val="22"/>
              </w:rPr>
              <w:t xml:space="preserve">En cuanto a la calificación </w:t>
            </w:r>
            <w:r w:rsidR="00B05525" w:rsidRPr="00DF07E5">
              <w:rPr>
                <w:bCs/>
                <w:sz w:val="22"/>
                <w:szCs w:val="22"/>
              </w:rPr>
              <w:t>de los alumnos</w:t>
            </w:r>
            <w:r w:rsidR="00DF07E5" w:rsidRPr="00DF07E5">
              <w:rPr>
                <w:bCs/>
                <w:sz w:val="22"/>
                <w:szCs w:val="22"/>
              </w:rPr>
              <w:t xml:space="preserve">, y para tener en cuenta las </w:t>
            </w:r>
            <w:r w:rsidR="00DF07E5" w:rsidRPr="00DF07E5">
              <w:rPr>
                <w:sz w:val="22"/>
                <w:szCs w:val="22"/>
              </w:rPr>
              <w:t xml:space="preserve">Instrucciones de 13 de abril de 2020, de la Consejería de Educación, Cultura y Deportes sobre medidas educativas para el desarrollo del tercer trimestre del curso 2019-2020, ante la situación de estado de alarma provocada por causa del brote del virus COVID-19. </w:t>
            </w:r>
            <w:r w:rsidR="00B05525" w:rsidRPr="00DF07E5">
              <w:rPr>
                <w:bCs/>
                <w:sz w:val="22"/>
                <w:szCs w:val="22"/>
              </w:rPr>
              <w:t>se tendrán en cuenta los siguientes aspectos:</w:t>
            </w:r>
          </w:p>
          <w:p w:rsidR="004E43DE" w:rsidRPr="00DF07E5" w:rsidRDefault="004E43DE" w:rsidP="00E77020">
            <w:pPr>
              <w:jc w:val="both"/>
              <w:rPr>
                <w:bCs/>
                <w:sz w:val="22"/>
                <w:szCs w:val="22"/>
              </w:rPr>
            </w:pPr>
          </w:p>
          <w:p w:rsidR="004B1201" w:rsidRDefault="004E43DE" w:rsidP="004E43DE">
            <w:pPr>
              <w:pStyle w:val="Prrafodelista"/>
              <w:numPr>
                <w:ilvl w:val="0"/>
                <w:numId w:val="7"/>
              </w:numPr>
              <w:jc w:val="both"/>
              <w:rPr>
                <w:bCs/>
                <w:sz w:val="22"/>
                <w:szCs w:val="22"/>
              </w:rPr>
            </w:pPr>
            <w:r>
              <w:rPr>
                <w:bCs/>
                <w:sz w:val="22"/>
                <w:szCs w:val="22"/>
              </w:rPr>
              <w:t>Se simplificarán todo lo posible los métodos para calificar a los alumnos, por lo que las herramientas y su peso en la calificación final serán las que se expondrán a continuación.</w:t>
            </w:r>
          </w:p>
          <w:p w:rsidR="004E43DE" w:rsidRDefault="004E43DE" w:rsidP="004E43DE">
            <w:pPr>
              <w:pStyle w:val="Prrafodelista"/>
              <w:jc w:val="both"/>
              <w:rPr>
                <w:bCs/>
                <w:sz w:val="22"/>
                <w:szCs w:val="22"/>
              </w:rPr>
            </w:pPr>
          </w:p>
          <w:p w:rsidR="004E43DE" w:rsidRDefault="004E43DE" w:rsidP="004E43DE">
            <w:pPr>
              <w:pStyle w:val="Prrafodelista"/>
              <w:numPr>
                <w:ilvl w:val="0"/>
                <w:numId w:val="7"/>
              </w:numPr>
              <w:jc w:val="both"/>
              <w:rPr>
                <w:bCs/>
                <w:sz w:val="22"/>
                <w:szCs w:val="22"/>
              </w:rPr>
            </w:pPr>
            <w:r>
              <w:rPr>
                <w:bCs/>
                <w:sz w:val="22"/>
                <w:szCs w:val="22"/>
              </w:rPr>
              <w:t>Se realizará UNA ÚNICA PRUEBA de conocimientos teórico-prácticos vía online en la plataforma Moodle sobre los contenidos en los tres primeros puntos del temario pendiente especificado arriba. Su peso en la calificación será un 60 % del total del 3º trimestre.</w:t>
            </w:r>
          </w:p>
          <w:p w:rsidR="004E43DE" w:rsidRDefault="004E43DE" w:rsidP="004E43DE">
            <w:pPr>
              <w:pStyle w:val="Prrafodelista"/>
              <w:jc w:val="both"/>
              <w:rPr>
                <w:bCs/>
                <w:sz w:val="22"/>
                <w:szCs w:val="22"/>
              </w:rPr>
            </w:pPr>
          </w:p>
          <w:p w:rsidR="004E43DE" w:rsidRDefault="004E43DE" w:rsidP="004E43DE">
            <w:pPr>
              <w:pStyle w:val="Prrafodelista"/>
              <w:numPr>
                <w:ilvl w:val="0"/>
                <w:numId w:val="7"/>
              </w:numPr>
              <w:jc w:val="both"/>
              <w:rPr>
                <w:bCs/>
                <w:sz w:val="22"/>
                <w:szCs w:val="22"/>
              </w:rPr>
            </w:pPr>
            <w:r>
              <w:rPr>
                <w:bCs/>
                <w:sz w:val="22"/>
                <w:szCs w:val="22"/>
              </w:rPr>
              <w:t>Se realizarán CUATRO breves casos prácticos, de los cuales los alumnos ya han realizad</w:t>
            </w:r>
            <w:r w:rsidR="002D45BD">
              <w:rPr>
                <w:bCs/>
                <w:sz w:val="22"/>
                <w:szCs w:val="22"/>
              </w:rPr>
              <w:t>o</w:t>
            </w:r>
            <w:r>
              <w:rPr>
                <w:bCs/>
                <w:sz w:val="22"/>
                <w:szCs w:val="22"/>
              </w:rPr>
              <w:t xml:space="preserve"> dos</w:t>
            </w:r>
            <w:r w:rsidR="002D45BD">
              <w:rPr>
                <w:bCs/>
                <w:sz w:val="22"/>
                <w:szCs w:val="22"/>
              </w:rPr>
              <w:t xml:space="preserve"> hasta la fecha, y que serán expuestos en la plataforma Moodle con tiempo suficiente para su realización. Su peso en la calificación será un 40 % del total del 3º trimestre.</w:t>
            </w:r>
          </w:p>
          <w:p w:rsidR="002D45BD" w:rsidRDefault="002D45BD" w:rsidP="002D45BD">
            <w:pPr>
              <w:pStyle w:val="Prrafodelista"/>
              <w:jc w:val="both"/>
              <w:rPr>
                <w:bCs/>
                <w:sz w:val="22"/>
                <w:szCs w:val="22"/>
              </w:rPr>
            </w:pPr>
          </w:p>
          <w:p w:rsidR="002D45BD" w:rsidRDefault="00F71516" w:rsidP="004E43DE">
            <w:pPr>
              <w:pStyle w:val="Prrafodelista"/>
              <w:numPr>
                <w:ilvl w:val="0"/>
                <w:numId w:val="7"/>
              </w:numPr>
              <w:jc w:val="both"/>
              <w:rPr>
                <w:bCs/>
                <w:sz w:val="22"/>
                <w:szCs w:val="22"/>
              </w:rPr>
            </w:pPr>
            <w:r>
              <w:rPr>
                <w:bCs/>
                <w:sz w:val="22"/>
                <w:szCs w:val="22"/>
              </w:rPr>
              <w:t>La evaluación PRIMERA ORDINARIA será la media aritmética de los resultados obtenidos en las evaluaciones anteriores (1ª + 2ª + 3ª / 3), siendo necesario obtener una calificación igual o superior a cinco (5) para superar el módulo. Los alumnos que no alcancen dicha calificación, realizarán una prueba de conocimiento</w:t>
            </w:r>
            <w:r w:rsidR="002D414D">
              <w:rPr>
                <w:bCs/>
                <w:sz w:val="22"/>
                <w:szCs w:val="22"/>
              </w:rPr>
              <w:t>s teórico-prácticos de las evaluaciones que tengan no superadas en los mismos términos que los establecidos en el punto 2.</w:t>
            </w:r>
          </w:p>
          <w:p w:rsidR="00F71516" w:rsidRDefault="00F71516" w:rsidP="00F71516">
            <w:pPr>
              <w:pStyle w:val="Prrafodelista"/>
              <w:jc w:val="both"/>
              <w:rPr>
                <w:bCs/>
                <w:sz w:val="22"/>
                <w:szCs w:val="22"/>
              </w:rPr>
            </w:pPr>
          </w:p>
          <w:p w:rsidR="00F71516" w:rsidRDefault="00F71516" w:rsidP="004E43DE">
            <w:pPr>
              <w:pStyle w:val="Prrafodelista"/>
              <w:numPr>
                <w:ilvl w:val="0"/>
                <w:numId w:val="7"/>
              </w:numPr>
              <w:jc w:val="both"/>
              <w:rPr>
                <w:bCs/>
                <w:sz w:val="22"/>
                <w:szCs w:val="22"/>
              </w:rPr>
            </w:pPr>
            <w:r>
              <w:rPr>
                <w:bCs/>
                <w:sz w:val="22"/>
                <w:szCs w:val="22"/>
              </w:rPr>
              <w:t>Para la evaluación SEGUNDA ORDINARIA, los alumnos incluidos deberán superar una prueba de conocimientos teórico-prácticos en los mismos términos q</w:t>
            </w:r>
            <w:r w:rsidR="002D414D">
              <w:rPr>
                <w:bCs/>
                <w:sz w:val="22"/>
                <w:szCs w:val="22"/>
              </w:rPr>
              <w:t>ue los establecidos en el punto 2 y cuyo contenido será lo estudiado a lo largo de todo el curso académico.</w:t>
            </w:r>
          </w:p>
          <w:p w:rsidR="002D414D" w:rsidRDefault="002D414D" w:rsidP="002D414D">
            <w:pPr>
              <w:pStyle w:val="Prrafodelista"/>
              <w:jc w:val="both"/>
              <w:rPr>
                <w:bCs/>
                <w:sz w:val="22"/>
                <w:szCs w:val="22"/>
              </w:rPr>
            </w:pPr>
          </w:p>
          <w:p w:rsidR="002D414D" w:rsidRDefault="002D414D" w:rsidP="004E43DE">
            <w:pPr>
              <w:pStyle w:val="Prrafodelista"/>
              <w:numPr>
                <w:ilvl w:val="0"/>
                <w:numId w:val="7"/>
              </w:numPr>
              <w:jc w:val="both"/>
              <w:rPr>
                <w:bCs/>
                <w:sz w:val="22"/>
                <w:szCs w:val="22"/>
              </w:rPr>
            </w:pPr>
            <w:r>
              <w:rPr>
                <w:bCs/>
                <w:sz w:val="22"/>
                <w:szCs w:val="22"/>
              </w:rPr>
              <w:t>Para facilitar la labor educativa de los alumnos</w:t>
            </w:r>
            <w:r w:rsidR="00381AC1">
              <w:rPr>
                <w:bCs/>
                <w:sz w:val="22"/>
                <w:szCs w:val="22"/>
              </w:rPr>
              <w:t xml:space="preserve"> que tengan dificultades</w:t>
            </w:r>
            <w:r>
              <w:rPr>
                <w:bCs/>
                <w:sz w:val="22"/>
                <w:szCs w:val="22"/>
              </w:rPr>
              <w:t xml:space="preserve">, </w:t>
            </w:r>
            <w:r w:rsidR="00381AC1">
              <w:rPr>
                <w:bCs/>
                <w:sz w:val="22"/>
                <w:szCs w:val="22"/>
              </w:rPr>
              <w:t xml:space="preserve">se dejará un plazo de </w:t>
            </w:r>
            <w:r w:rsidR="00E9140A">
              <w:rPr>
                <w:bCs/>
                <w:sz w:val="22"/>
                <w:szCs w:val="22"/>
              </w:rPr>
              <w:t>DOS</w:t>
            </w:r>
            <w:r w:rsidR="00381AC1">
              <w:rPr>
                <w:bCs/>
                <w:sz w:val="22"/>
                <w:szCs w:val="22"/>
              </w:rPr>
              <w:t xml:space="preserve"> </w:t>
            </w:r>
            <w:r w:rsidR="00E9140A">
              <w:rPr>
                <w:bCs/>
                <w:sz w:val="22"/>
                <w:szCs w:val="22"/>
              </w:rPr>
              <w:t>SEMANAS</w:t>
            </w:r>
            <w:r w:rsidR="00381AC1">
              <w:rPr>
                <w:bCs/>
                <w:sz w:val="22"/>
                <w:szCs w:val="22"/>
              </w:rPr>
              <w:t xml:space="preserve"> para que resuelvan dudas o realicen consultas a través de la plataforma PAPÁS, MOODLE o al correo electrónico particular del profesor.</w:t>
            </w:r>
          </w:p>
          <w:p w:rsidR="00E9140A" w:rsidRDefault="00E9140A" w:rsidP="00E9140A">
            <w:pPr>
              <w:pStyle w:val="Prrafodelista"/>
              <w:jc w:val="both"/>
              <w:rPr>
                <w:bCs/>
                <w:sz w:val="22"/>
                <w:szCs w:val="22"/>
              </w:rPr>
            </w:pPr>
          </w:p>
          <w:p w:rsidR="00E9140A" w:rsidRDefault="00E9140A" w:rsidP="004E43DE">
            <w:pPr>
              <w:pStyle w:val="Prrafodelista"/>
              <w:numPr>
                <w:ilvl w:val="0"/>
                <w:numId w:val="7"/>
              </w:numPr>
              <w:jc w:val="both"/>
              <w:rPr>
                <w:bCs/>
                <w:sz w:val="22"/>
                <w:szCs w:val="22"/>
              </w:rPr>
            </w:pPr>
            <w:r>
              <w:rPr>
                <w:bCs/>
                <w:sz w:val="22"/>
                <w:szCs w:val="22"/>
              </w:rPr>
              <w:t>Todo lo dispuesto en los puntos anteriores podrá ser revocado si las circunstancias excepcionales actuales remiten, y las autoridades así lo dispusieran.</w:t>
            </w:r>
          </w:p>
          <w:p w:rsidR="00E77020" w:rsidRPr="00472D5C" w:rsidRDefault="00E77020" w:rsidP="002D414D">
            <w:pPr>
              <w:rPr>
                <w:b/>
                <w:bCs/>
                <w:sz w:val="22"/>
                <w:szCs w:val="22"/>
              </w:rPr>
            </w:pPr>
          </w:p>
        </w:tc>
      </w:tr>
    </w:tbl>
    <w:p w:rsidR="00F202CF" w:rsidRDefault="00F202CF"/>
    <w:sectPr w:rsidR="00F202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C857586"/>
    <w:multiLevelType w:val="hybridMultilevel"/>
    <w:tmpl w:val="CAEC6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B118DA"/>
    <w:multiLevelType w:val="hybridMultilevel"/>
    <w:tmpl w:val="269217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03624E"/>
    <w:multiLevelType w:val="hybridMultilevel"/>
    <w:tmpl w:val="0DE42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20"/>
    <w:rsid w:val="000B1C70"/>
    <w:rsid w:val="002D414D"/>
    <w:rsid w:val="002D45BD"/>
    <w:rsid w:val="00381AC1"/>
    <w:rsid w:val="004B1201"/>
    <w:rsid w:val="004E43DE"/>
    <w:rsid w:val="00B05525"/>
    <w:rsid w:val="00D3772C"/>
    <w:rsid w:val="00DF07E5"/>
    <w:rsid w:val="00E77020"/>
    <w:rsid w:val="00E9140A"/>
    <w:rsid w:val="00F202CF"/>
    <w:rsid w:val="00F71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CCC0F-EBED-4D01-BDA4-B9C03D8D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2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77020"/>
    <w:pPr>
      <w:keepNext/>
      <w:spacing w:line="480" w:lineRule="auto"/>
      <w:ind w:left="357"/>
      <w:jc w:val="center"/>
      <w:outlineLvl w:val="0"/>
    </w:pPr>
    <w:rPr>
      <w:b/>
      <w:bCs/>
    </w:rPr>
  </w:style>
  <w:style w:type="paragraph" w:styleId="Ttulo5">
    <w:name w:val="heading 5"/>
    <w:basedOn w:val="Normal"/>
    <w:next w:val="Normal"/>
    <w:link w:val="Ttulo5Car"/>
    <w:qFormat/>
    <w:rsid w:val="00E7702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7020"/>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rsid w:val="00E77020"/>
    <w:rPr>
      <w:rFonts w:ascii="Times New Roman" w:eastAsia="Times New Roman" w:hAnsi="Times New Roman" w:cs="Times New Roman"/>
      <w:b/>
      <w:bCs/>
      <w:i/>
      <w:iCs/>
      <w:sz w:val="26"/>
      <w:szCs w:val="26"/>
      <w:lang w:eastAsia="es-ES"/>
    </w:rPr>
  </w:style>
  <w:style w:type="paragraph" w:styleId="Encabezado">
    <w:name w:val="header"/>
    <w:basedOn w:val="Normal"/>
    <w:link w:val="EncabezadoCar"/>
    <w:rsid w:val="00E77020"/>
    <w:pPr>
      <w:tabs>
        <w:tab w:val="center" w:pos="4252"/>
        <w:tab w:val="right" w:pos="8504"/>
      </w:tabs>
    </w:pPr>
  </w:style>
  <w:style w:type="character" w:customStyle="1" w:styleId="EncabezadoCar">
    <w:name w:val="Encabezado Car"/>
    <w:basedOn w:val="Fuentedeprrafopredeter"/>
    <w:link w:val="Encabezado"/>
    <w:rsid w:val="00E7702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E77020"/>
    <w:pPr>
      <w:spacing w:line="360" w:lineRule="auto"/>
      <w:jc w:val="center"/>
    </w:pPr>
    <w:rPr>
      <w:b/>
      <w:bCs/>
      <w:spacing w:val="-3"/>
      <w:lang w:val="es-ES_tradnl"/>
    </w:rPr>
  </w:style>
  <w:style w:type="character" w:customStyle="1" w:styleId="Textoindependiente2Car">
    <w:name w:val="Texto independiente 2 Car"/>
    <w:basedOn w:val="Fuentedeprrafopredeter"/>
    <w:link w:val="Textoindependiente2"/>
    <w:rsid w:val="00E77020"/>
    <w:rPr>
      <w:rFonts w:ascii="Times New Roman" w:eastAsia="Times New Roman" w:hAnsi="Times New Roman" w:cs="Times New Roman"/>
      <w:b/>
      <w:bCs/>
      <w:spacing w:val="-3"/>
      <w:sz w:val="24"/>
      <w:szCs w:val="24"/>
      <w:lang w:val="es-ES_tradnl" w:eastAsia="es-ES"/>
    </w:rPr>
  </w:style>
  <w:style w:type="paragraph" w:styleId="Prrafodelista">
    <w:name w:val="List Paragraph"/>
    <w:basedOn w:val="Normal"/>
    <w:uiPriority w:val="34"/>
    <w:qFormat/>
    <w:rsid w:val="00E77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Abyacar Abyacar</dc:creator>
  <cp:keywords/>
  <dc:description/>
  <cp:lastModifiedBy>Abyacar Abyacar</cp:lastModifiedBy>
  <cp:revision>8</cp:revision>
  <dcterms:created xsi:type="dcterms:W3CDTF">2020-04-14T11:17:00Z</dcterms:created>
  <dcterms:modified xsi:type="dcterms:W3CDTF">2020-04-15T11:16:00Z</dcterms:modified>
</cp:coreProperties>
</file>